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广西壮族自治区人力资源和社会保障厅</w:t>
      </w:r>
    </w:p>
    <w:p>
      <w:pPr>
        <w:jc w:val="center"/>
        <w:rPr>
          <w:rFonts w:asciiTheme="majorEastAsia" w:hAnsiTheme="majorEastAsia" w:eastAsiaTheme="majorEastAsia"/>
          <w:b/>
          <w:sz w:val="44"/>
          <w:szCs w:val="44"/>
        </w:rPr>
      </w:pPr>
    </w:p>
    <w:p>
      <w:pPr>
        <w:jc w:val="center"/>
        <w:rPr>
          <w:rFonts w:cs="ArialUnicodeMS" w:asciiTheme="majorEastAsia" w:hAnsiTheme="majorEastAsia" w:eastAsiaTheme="majorEastAsia"/>
          <w:b/>
          <w:kern w:val="0"/>
          <w:sz w:val="44"/>
          <w:szCs w:val="44"/>
        </w:rPr>
      </w:pPr>
      <w:r>
        <w:rPr>
          <w:rFonts w:hint="eastAsia" w:asciiTheme="majorEastAsia" w:hAnsiTheme="majorEastAsia" w:eastAsiaTheme="majorEastAsia"/>
          <w:b/>
          <w:sz w:val="44"/>
          <w:szCs w:val="44"/>
        </w:rPr>
        <w:t>机关服务中心2020年部门决算公开</w:t>
      </w:r>
    </w:p>
    <w:p>
      <w:pPr>
        <w:jc w:val="center"/>
        <w:rPr>
          <w:rFonts w:cs="ArialUnicodeMS" w:asciiTheme="majorEastAsia" w:hAnsiTheme="majorEastAsia" w:eastAsiaTheme="majorEastAsia"/>
          <w:kern w:val="0"/>
          <w:sz w:val="52"/>
          <w:szCs w:val="52"/>
        </w:rPr>
      </w:pPr>
    </w:p>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黑体" w:eastAsia="黑体" w:cs="ArialUnicodeMS"/>
          <w:kern w:val="0"/>
          <w:sz w:val="52"/>
          <w:szCs w:val="52"/>
        </w:rPr>
      </w:pPr>
    </w:p>
    <w:p>
      <w:pPr>
        <w:jc w:val="center"/>
        <w:rPr>
          <w:rFonts w:ascii="黑体" w:eastAsia="黑体" w:cs="ArialUnicodeMS"/>
          <w:kern w:val="0"/>
          <w:sz w:val="52"/>
          <w:szCs w:val="52"/>
        </w:rPr>
      </w:pPr>
    </w:p>
    <w:p>
      <w:pPr>
        <w:rPr>
          <w:rFonts w:asciiTheme="minorEastAsia" w:hAnsiTheme="minorEastAsia" w:eastAsiaTheme="minorEastAsia"/>
          <w:b/>
          <w:sz w:val="32"/>
          <w:szCs w:val="32"/>
        </w:rPr>
      </w:pPr>
    </w:p>
    <w:p>
      <w:pPr>
        <w:ind w:firstLine="646"/>
        <w:jc w:val="center"/>
        <w:rPr>
          <w:rFonts w:ascii="黑体" w:hAnsi="黑体" w:eastAsia="黑体"/>
          <w:sz w:val="32"/>
          <w:szCs w:val="32"/>
        </w:rPr>
      </w:pPr>
      <w:r>
        <w:rPr>
          <w:rFonts w:hint="eastAsia" w:ascii="黑体" w:hAnsi="黑体" w:eastAsia="黑体"/>
          <w:sz w:val="32"/>
          <w:szCs w:val="32"/>
        </w:rPr>
        <w:t>目    录</w:t>
      </w:r>
    </w:p>
    <w:p>
      <w:pPr>
        <w:ind w:firstLine="646"/>
        <w:jc w:val="left"/>
        <w:rPr>
          <w:rFonts w:asciiTheme="minorEastAsia" w:hAnsiTheme="minorEastAsia" w:eastAsiaTheme="minorEastAsia"/>
          <w:b/>
          <w:sz w:val="32"/>
          <w:szCs w:val="32"/>
        </w:rPr>
      </w:pPr>
      <w:bookmarkStart w:id="0" w:name="_GoBack"/>
      <w:bookmarkEnd w:id="0"/>
    </w:p>
    <w:p>
      <w:pPr>
        <w:ind w:firstLine="645"/>
        <w:jc w:val="left"/>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rPr>
        <w:t>广西壮族自治区人力资源和社会保障厅机关服务中心</w:t>
      </w:r>
      <w:r>
        <w:rPr>
          <w:rFonts w:hint="eastAsia" w:ascii="黑体" w:hAnsi="黑体" w:eastAsia="黑体"/>
          <w:sz w:val="32"/>
          <w:szCs w:val="32"/>
        </w:rPr>
        <w:t>概况</w:t>
      </w:r>
    </w:p>
    <w:p>
      <w:pPr>
        <w:ind w:firstLine="645"/>
        <w:rPr>
          <w:rFonts w:ascii="仿宋_GB2312" w:eastAsia="仿宋_GB2312" w:hAnsiTheme="minorEastAsia"/>
          <w:sz w:val="32"/>
          <w:szCs w:val="32"/>
        </w:rPr>
      </w:pPr>
      <w:r>
        <w:rPr>
          <w:rFonts w:hint="eastAsia" w:ascii="仿宋_GB2312" w:eastAsia="仿宋_GB2312" w:hAnsiTheme="minorEastAsia"/>
          <w:sz w:val="32"/>
          <w:szCs w:val="32"/>
        </w:rPr>
        <w:t>一、主要职能</w:t>
      </w:r>
    </w:p>
    <w:p>
      <w:pPr>
        <w:ind w:firstLine="645"/>
        <w:rPr>
          <w:rFonts w:ascii="仿宋_GB2312" w:eastAsia="仿宋_GB2312" w:hAnsiTheme="minorEastAsia"/>
          <w:sz w:val="32"/>
          <w:szCs w:val="32"/>
        </w:rPr>
      </w:pPr>
      <w:r>
        <w:rPr>
          <w:rFonts w:hint="eastAsia" w:ascii="仿宋_GB2312" w:eastAsia="仿宋_GB2312" w:hAnsiTheme="minorEastAsia"/>
          <w:sz w:val="32"/>
          <w:szCs w:val="32"/>
        </w:rPr>
        <w:t>二、部门决算单位构成</w:t>
      </w:r>
    </w:p>
    <w:p>
      <w:pPr>
        <w:ind w:firstLine="645"/>
        <w:rPr>
          <w:rFonts w:ascii="仿宋_GB2312" w:eastAsia="仿宋_GB2312" w:hAnsiTheme="minorEastAsia"/>
          <w:sz w:val="32"/>
          <w:szCs w:val="32"/>
        </w:rPr>
      </w:pPr>
    </w:p>
    <w:p>
      <w:pPr>
        <w:ind w:firstLine="645"/>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广西壮族自治区人力资源和社会保障厅机关服务中心</w:t>
      </w:r>
      <w:r>
        <w:rPr>
          <w:rFonts w:hint="eastAsia" w:ascii="黑体" w:hAnsi="黑体" w:eastAsia="黑体"/>
          <w:sz w:val="32"/>
          <w:szCs w:val="32"/>
        </w:rPr>
        <w:t>2020年部门决算报表</w:t>
      </w:r>
    </w:p>
    <w:p>
      <w:pPr>
        <w:ind w:left="645"/>
        <w:rPr>
          <w:rFonts w:ascii="仿宋_GB2312" w:eastAsia="仿宋_GB2312" w:hAnsiTheme="minorEastAsia"/>
          <w:sz w:val="32"/>
          <w:szCs w:val="32"/>
        </w:rPr>
      </w:pPr>
      <w:r>
        <w:rPr>
          <w:rFonts w:hint="eastAsia" w:ascii="仿宋_GB2312" w:eastAsia="仿宋_GB2312" w:hAnsiTheme="minorEastAsia"/>
          <w:sz w:val="32"/>
          <w:szCs w:val="32"/>
        </w:rPr>
        <w:t>表一：收入支出决算总表</w:t>
      </w:r>
    </w:p>
    <w:p>
      <w:pPr>
        <w:ind w:left="645"/>
        <w:rPr>
          <w:rFonts w:ascii="仿宋_GB2312" w:eastAsia="仿宋_GB2312" w:hAnsiTheme="minorEastAsia"/>
          <w:sz w:val="32"/>
          <w:szCs w:val="32"/>
        </w:rPr>
      </w:pPr>
      <w:r>
        <w:rPr>
          <w:rFonts w:hint="eastAsia" w:ascii="仿宋_GB2312" w:eastAsia="仿宋_GB2312" w:hAnsiTheme="minorEastAsia"/>
          <w:sz w:val="32"/>
          <w:szCs w:val="32"/>
        </w:rPr>
        <w:t>表二：收入决算表</w:t>
      </w:r>
    </w:p>
    <w:p>
      <w:pPr>
        <w:ind w:left="645"/>
        <w:rPr>
          <w:rFonts w:ascii="仿宋_GB2312" w:eastAsia="仿宋_GB2312" w:hAnsiTheme="minorEastAsia"/>
          <w:sz w:val="32"/>
          <w:szCs w:val="32"/>
        </w:rPr>
      </w:pPr>
      <w:r>
        <w:rPr>
          <w:rFonts w:hint="eastAsia" w:ascii="仿宋_GB2312" w:eastAsia="仿宋_GB2312" w:hAnsiTheme="minorEastAsia"/>
          <w:sz w:val="32"/>
          <w:szCs w:val="32"/>
        </w:rPr>
        <w:t>表三：支出决算表</w:t>
      </w:r>
    </w:p>
    <w:p>
      <w:pPr>
        <w:ind w:left="645"/>
        <w:rPr>
          <w:rFonts w:ascii="仿宋_GB2312" w:eastAsia="仿宋_GB2312" w:hAnsiTheme="minorEastAsia"/>
          <w:sz w:val="32"/>
          <w:szCs w:val="32"/>
        </w:rPr>
      </w:pPr>
      <w:r>
        <w:rPr>
          <w:rFonts w:hint="eastAsia" w:ascii="仿宋_GB2312" w:eastAsia="仿宋_GB2312" w:hAnsiTheme="minorEastAsia"/>
          <w:sz w:val="32"/>
          <w:szCs w:val="32"/>
        </w:rPr>
        <w:t>表四：财政拨款收入支出决算总表</w:t>
      </w:r>
    </w:p>
    <w:p>
      <w:pPr>
        <w:ind w:left="645"/>
        <w:rPr>
          <w:rFonts w:ascii="仿宋_GB2312" w:eastAsia="仿宋_GB2312" w:hAnsiTheme="minorEastAsia"/>
          <w:sz w:val="32"/>
          <w:szCs w:val="32"/>
        </w:rPr>
      </w:pPr>
      <w:r>
        <w:rPr>
          <w:rFonts w:hint="eastAsia" w:ascii="仿宋_GB2312" w:eastAsia="仿宋_GB2312" w:hAnsiTheme="minorEastAsia"/>
          <w:sz w:val="32"/>
          <w:szCs w:val="32"/>
        </w:rPr>
        <w:t>表五：一般公共预算财政拨款支出决算表</w:t>
      </w:r>
    </w:p>
    <w:p>
      <w:pPr>
        <w:ind w:left="645"/>
        <w:rPr>
          <w:rFonts w:ascii="仿宋_GB2312" w:eastAsia="仿宋_GB2312" w:hAnsiTheme="minorEastAsia"/>
          <w:sz w:val="32"/>
          <w:szCs w:val="32"/>
        </w:rPr>
      </w:pPr>
      <w:r>
        <w:rPr>
          <w:rFonts w:hint="eastAsia" w:ascii="仿宋_GB2312" w:eastAsia="仿宋_GB2312" w:hAnsiTheme="minorEastAsia"/>
          <w:sz w:val="32"/>
          <w:szCs w:val="32"/>
        </w:rPr>
        <w:t>表六：一般公共预算财政拨款基本支出决算表</w:t>
      </w:r>
    </w:p>
    <w:p>
      <w:pPr>
        <w:ind w:left="645"/>
        <w:rPr>
          <w:rFonts w:ascii="仿宋_GB2312" w:eastAsia="仿宋_GB2312" w:hAnsiTheme="minorEastAsia"/>
          <w:sz w:val="32"/>
          <w:szCs w:val="32"/>
        </w:rPr>
      </w:pPr>
      <w:r>
        <w:rPr>
          <w:rFonts w:hint="eastAsia" w:ascii="仿宋_GB2312" w:eastAsia="仿宋_GB2312" w:hAnsiTheme="minorEastAsia"/>
          <w:sz w:val="32"/>
          <w:szCs w:val="32"/>
        </w:rPr>
        <w:t>表七：一般公共预算财政拨款安排的“三公”经费支出决算表</w:t>
      </w:r>
    </w:p>
    <w:p>
      <w:pPr>
        <w:ind w:left="645"/>
        <w:rPr>
          <w:rFonts w:ascii="仿宋_GB2312" w:eastAsia="仿宋_GB2312" w:hAnsiTheme="minorEastAsia"/>
          <w:sz w:val="32"/>
          <w:szCs w:val="32"/>
        </w:rPr>
      </w:pPr>
      <w:r>
        <w:rPr>
          <w:rFonts w:hint="eastAsia" w:ascii="仿宋_GB2312" w:eastAsia="仿宋_GB2312" w:hAnsiTheme="minorEastAsia"/>
          <w:sz w:val="32"/>
          <w:szCs w:val="32"/>
        </w:rPr>
        <w:t>表八：政府性基金预算财政拨款收入支出决算表</w:t>
      </w:r>
    </w:p>
    <w:p>
      <w:pPr>
        <w:ind w:left="645"/>
        <w:rPr>
          <w:rFonts w:ascii="仿宋_GB2312" w:eastAsia="仿宋_GB2312" w:hAnsiTheme="minorEastAsia"/>
          <w:sz w:val="32"/>
          <w:szCs w:val="32"/>
        </w:rPr>
      </w:pPr>
      <w:r>
        <w:rPr>
          <w:rFonts w:hint="eastAsia" w:ascii="仿宋_GB2312" w:eastAsia="仿宋_GB2312" w:hAnsiTheme="minorEastAsia"/>
          <w:sz w:val="32"/>
          <w:szCs w:val="32"/>
        </w:rPr>
        <w:t>表九：国有资本经营预算财政拨款收入支出决算表</w:t>
      </w:r>
    </w:p>
    <w:p>
      <w:pPr>
        <w:rPr>
          <w:rFonts w:asciiTheme="minorEastAsia" w:hAnsiTheme="minorEastAsia" w:eastAsiaTheme="minorEastAsia"/>
          <w:b/>
          <w:sz w:val="32"/>
          <w:szCs w:val="32"/>
        </w:rPr>
      </w:pPr>
    </w:p>
    <w:p>
      <w:pPr>
        <w:ind w:firstLine="645"/>
        <w:jc w:val="cente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rPr>
        <w:t>广西壮族自治区人力资源和社会保障厅机关服务中心</w:t>
      </w:r>
      <w:r>
        <w:rPr>
          <w:rFonts w:hint="eastAsia" w:ascii="黑体" w:hAnsi="黑体" w:eastAsia="黑体"/>
          <w:sz w:val="32"/>
          <w:szCs w:val="32"/>
        </w:rPr>
        <w:t>2020年度部门决算情况说明</w:t>
      </w:r>
    </w:p>
    <w:p>
      <w:pPr>
        <w:autoSpaceDE w:val="0"/>
        <w:autoSpaceDN w:val="0"/>
        <w:adjustRightInd w:val="0"/>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一、</w:t>
      </w:r>
      <w:r>
        <w:rPr>
          <w:rFonts w:hint="eastAsia" w:ascii="仿宋_GB2312" w:eastAsia="仿宋_GB2312" w:hAnsiTheme="minorEastAsia"/>
          <w:kern w:val="0"/>
          <w:sz w:val="32"/>
          <w:szCs w:val="32"/>
        </w:rPr>
        <w:t>2020</w:t>
      </w:r>
      <w:r>
        <w:rPr>
          <w:rFonts w:hint="eastAsia" w:ascii="仿宋_GB2312" w:eastAsia="仿宋_GB2312" w:cs="仿宋_GB2312" w:hAnsiTheme="minorEastAsia"/>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二、</w:t>
      </w:r>
      <w:r>
        <w:rPr>
          <w:rFonts w:hint="eastAsia" w:ascii="仿宋_GB2312" w:eastAsia="仿宋_GB2312" w:hAnsiTheme="minorEastAsia"/>
          <w:kern w:val="0"/>
          <w:sz w:val="32"/>
          <w:szCs w:val="32"/>
        </w:rPr>
        <w:t>2020</w:t>
      </w:r>
      <w:r>
        <w:rPr>
          <w:rFonts w:hint="eastAsia" w:ascii="仿宋_GB2312" w:eastAsia="仿宋_GB2312" w:cs="仿宋_GB2312" w:hAnsiTheme="minorEastAsia"/>
          <w:kern w:val="0"/>
          <w:sz w:val="32"/>
          <w:szCs w:val="32"/>
        </w:rPr>
        <w:t>年度</w:t>
      </w:r>
      <w:r>
        <w:rPr>
          <w:rFonts w:hint="eastAsia" w:ascii="仿宋_GB2312" w:eastAsia="仿宋_GB2312" w:hAnsiTheme="minorEastAsia"/>
          <w:sz w:val="32"/>
          <w:szCs w:val="32"/>
        </w:rPr>
        <w:t>一般</w:t>
      </w:r>
      <w:r>
        <w:rPr>
          <w:rFonts w:hint="eastAsia" w:ascii="仿宋_GB2312" w:eastAsia="仿宋_GB2312" w:cs="仿宋_GB2312" w:hAnsiTheme="minorEastAsia"/>
          <w:kern w:val="0"/>
          <w:sz w:val="32"/>
          <w:szCs w:val="32"/>
        </w:rPr>
        <w:t>公共预算财政拨款支出决算情况。</w:t>
      </w:r>
    </w:p>
    <w:p>
      <w:pPr>
        <w:autoSpaceDE w:val="0"/>
        <w:autoSpaceDN w:val="0"/>
        <w:adjustRightInd w:val="0"/>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三、2020年度一般公共预算财政拨款基本支出决算情况说明。</w:t>
      </w:r>
    </w:p>
    <w:p>
      <w:pPr>
        <w:autoSpaceDE w:val="0"/>
        <w:autoSpaceDN w:val="0"/>
        <w:adjustRightInd w:val="0"/>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四、</w:t>
      </w:r>
      <w:r>
        <w:rPr>
          <w:rFonts w:hint="eastAsia" w:ascii="仿宋_GB2312" w:eastAsia="仿宋_GB2312" w:hAnsiTheme="minorEastAsia"/>
          <w:kern w:val="0"/>
          <w:sz w:val="32"/>
          <w:szCs w:val="32"/>
        </w:rPr>
        <w:t>2020</w:t>
      </w:r>
      <w:r>
        <w:rPr>
          <w:rFonts w:hint="eastAsia" w:ascii="仿宋_GB2312" w:eastAsia="仿宋_GB2312" w:cs="仿宋_GB2312" w:hAnsiTheme="minorEastAsia"/>
          <w:kern w:val="0"/>
          <w:sz w:val="32"/>
          <w:szCs w:val="32"/>
        </w:rPr>
        <w:t>年度政府性基金支出决算情况。</w:t>
      </w:r>
    </w:p>
    <w:p>
      <w:pPr>
        <w:autoSpaceDE w:val="0"/>
        <w:autoSpaceDN w:val="0"/>
        <w:adjustRightInd w:val="0"/>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五、2020年度国有资本经营预算支出决算情况</w:t>
      </w:r>
    </w:p>
    <w:p>
      <w:pPr>
        <w:autoSpaceDE w:val="0"/>
        <w:autoSpaceDN w:val="0"/>
        <w:adjustRightInd w:val="0"/>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六、2020年度</w:t>
      </w:r>
      <w:r>
        <w:rPr>
          <w:rFonts w:hint="eastAsia" w:ascii="仿宋_GB2312" w:eastAsia="仿宋_GB2312" w:hAnsiTheme="minorEastAsia"/>
          <w:sz w:val="32"/>
          <w:szCs w:val="32"/>
        </w:rPr>
        <w:t>一般</w:t>
      </w:r>
      <w:r>
        <w:rPr>
          <w:rFonts w:hint="eastAsia" w:ascii="仿宋_GB2312" w:eastAsia="仿宋_GB2312" w:cs="仿宋_GB2312" w:hAnsiTheme="minorEastAsia"/>
          <w:kern w:val="0"/>
          <w:sz w:val="32"/>
          <w:szCs w:val="32"/>
        </w:rPr>
        <w:t>公共预算财政拨款安排的“三公”经费支出决算情况说明。</w:t>
      </w:r>
    </w:p>
    <w:p>
      <w:pPr>
        <w:autoSpaceDE w:val="0"/>
        <w:autoSpaceDN w:val="0"/>
        <w:adjustRightInd w:val="0"/>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七、其他重要事项情况说明。</w:t>
      </w:r>
    </w:p>
    <w:p>
      <w:pPr>
        <w:autoSpaceDE w:val="0"/>
        <w:autoSpaceDN w:val="0"/>
        <w:adjustRightInd w:val="0"/>
        <w:ind w:firstLine="640" w:firstLineChars="200"/>
        <w:jc w:val="left"/>
        <w:rPr>
          <w:rFonts w:ascii="仿宋_GB2312" w:eastAsia="仿宋_GB2312" w:cs="仿宋_GB2312" w:hAnsiTheme="minorEastAsia"/>
          <w:kern w:val="0"/>
          <w:sz w:val="32"/>
          <w:szCs w:val="32"/>
        </w:rPr>
      </w:pPr>
    </w:p>
    <w:p>
      <w:pPr>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ind w:firstLine="642" w:firstLineChars="200"/>
        <w:rPr>
          <w:rFonts w:cs="仿宋_GB2312" w:asciiTheme="minorEastAsia" w:hAnsiTheme="minorEastAsia" w:eastAsiaTheme="minorEastAsia"/>
          <w:b/>
          <w:kern w:val="0"/>
          <w:sz w:val="32"/>
          <w:szCs w:val="32"/>
        </w:rPr>
      </w:pPr>
    </w:p>
    <w:p>
      <w:pPr>
        <w:spacing w:line="520" w:lineRule="atLeast"/>
        <w:jc w:val="center"/>
        <w:rPr>
          <w:rFonts w:ascii="黑体" w:hAnsi="黑体" w:eastAsia="黑体"/>
          <w:sz w:val="32"/>
          <w:szCs w:val="32"/>
        </w:rPr>
        <w:sectPr>
          <w:footerReference r:id="rId3" w:type="default"/>
          <w:pgSz w:w="11906" w:h="16838"/>
          <w:pgMar w:top="1440" w:right="1797" w:bottom="1440" w:left="1797" w:header="851" w:footer="992" w:gutter="0"/>
          <w:cols w:space="425" w:num="1"/>
          <w:docGrid w:type="lines" w:linePitch="312" w:charSpace="0"/>
        </w:sectPr>
      </w:pP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rPr>
        <w:t>广西壮族自治区人力资源和社会保障厅机关服务中心</w:t>
      </w:r>
      <w:r>
        <w:rPr>
          <w:rFonts w:hint="eastAsia" w:ascii="黑体" w:hAnsi="黑体" w:eastAsia="黑体"/>
          <w:sz w:val="32"/>
          <w:szCs w:val="32"/>
        </w:rPr>
        <w:t>概况</w:t>
      </w:r>
    </w:p>
    <w:p>
      <w:pPr>
        <w:spacing w:line="560" w:lineRule="exact"/>
        <w:jc w:val="center"/>
        <w:rPr>
          <w:rFonts w:ascii="黑体" w:hAnsi="黑体" w:eastAsia="黑体"/>
          <w:bCs/>
          <w:color w:val="000000"/>
          <w:sz w:val="32"/>
          <w:szCs w:val="32"/>
        </w:rPr>
      </w:pPr>
    </w:p>
    <w:p>
      <w:pPr>
        <w:spacing w:line="560" w:lineRule="exact"/>
        <w:ind w:firstLine="645"/>
        <w:rPr>
          <w:rFonts w:ascii="黑体" w:hAnsi="黑体" w:eastAsia="黑体"/>
          <w:sz w:val="32"/>
          <w:szCs w:val="32"/>
        </w:rPr>
      </w:pPr>
      <w:r>
        <w:rPr>
          <w:rFonts w:hint="eastAsia" w:ascii="黑体" w:hAnsi="黑体" w:eastAsia="黑体"/>
          <w:sz w:val="32"/>
          <w:szCs w:val="32"/>
        </w:rPr>
        <w:t>一、主要职能</w:t>
      </w:r>
    </w:p>
    <w:p>
      <w:pPr>
        <w:spacing w:line="560" w:lineRule="exact"/>
        <w:ind w:firstLine="630"/>
        <w:rPr>
          <w:rFonts w:ascii="仿宋_GB2312" w:eastAsia="仿宋_GB2312" w:hAnsiTheme="minorEastAsia"/>
          <w:sz w:val="32"/>
          <w:szCs w:val="32"/>
        </w:rPr>
      </w:pPr>
      <w:r>
        <w:rPr>
          <w:rFonts w:hint="eastAsia" w:ascii="仿宋_GB2312" w:eastAsia="仿宋_GB2312" w:cs="宋体" w:hAnsiTheme="minorEastAsia"/>
          <w:b/>
          <w:bCs/>
          <w:color w:val="000000"/>
          <w:sz w:val="32"/>
          <w:szCs w:val="32"/>
        </w:rPr>
        <w:t>广西壮族自治区人力资源和社会保障厅机关服务中心的主要职责是：</w:t>
      </w:r>
      <w:r>
        <w:rPr>
          <w:rFonts w:hint="eastAsia" w:ascii="仿宋_GB2312" w:eastAsia="仿宋_GB2312" w:hAnsiTheme="minorEastAsia"/>
          <w:sz w:val="32"/>
          <w:szCs w:val="32"/>
        </w:rPr>
        <w:t>负责广西壮族自治区人力资源和社会保障厅本级国有实物资产管理工作；公务车辆的使用管理工作；办理政府采购相关事宜；负责机关会务及会议接待的相关工作；负责房产管理、机关办公大院的物业（水电、消防、通讯、绿化、保卫、保洁等）管理工作；办公用品使用管理工作；负责厅机关和厅属事业单位职工的计划生育统计管理工作，职工户籍管理、职工住房补贴、聘用人员医疗保险、小孩入托、医疗统筹等工作；负责厅机关办公节能减排工作。</w:t>
      </w:r>
    </w:p>
    <w:p>
      <w:pPr>
        <w:shd w:val="clear" w:color="auto" w:fill="FFFFFF"/>
        <w:spacing w:line="560" w:lineRule="exact"/>
        <w:ind w:firstLine="480"/>
        <w:rPr>
          <w:rFonts w:ascii="黑体" w:hAnsi="黑体" w:eastAsia="黑体"/>
          <w:color w:val="333333"/>
          <w:sz w:val="32"/>
          <w:szCs w:val="32"/>
        </w:rPr>
      </w:pPr>
      <w:r>
        <w:rPr>
          <w:rFonts w:hint="eastAsia" w:ascii="黑体" w:hAnsi="黑体" w:eastAsia="黑体" w:cs="宋体"/>
          <w:sz w:val="32"/>
          <w:szCs w:val="32"/>
        </w:rPr>
        <w:t>二、人员构成情况</w:t>
      </w:r>
    </w:p>
    <w:p>
      <w:pPr>
        <w:spacing w:line="560" w:lineRule="exact"/>
        <w:ind w:firstLine="640" w:firstLineChars="200"/>
        <w:rPr>
          <w:rFonts w:ascii="仿宋_GB2312" w:eastAsia="仿宋_GB2312" w:cs="宋体" w:hAnsiTheme="minorEastAsia"/>
          <w:bCs/>
          <w:color w:val="000000"/>
          <w:sz w:val="32"/>
          <w:szCs w:val="32"/>
        </w:rPr>
      </w:pPr>
      <w:r>
        <w:rPr>
          <w:rFonts w:hint="eastAsia" w:ascii="仿宋_GB2312" w:eastAsia="仿宋_GB2312" w:cs="宋体" w:hAnsiTheme="minorEastAsia"/>
          <w:sz w:val="32"/>
          <w:szCs w:val="32"/>
        </w:rPr>
        <w:t>广西壮族自治区人力资源和社会保障厅机关服务中心</w:t>
      </w:r>
      <w:r>
        <w:rPr>
          <w:rFonts w:hint="eastAsia" w:ascii="仿宋_GB2312" w:eastAsia="仿宋_GB2312" w:hAnsiTheme="minorEastAsia"/>
          <w:bCs/>
          <w:sz w:val="32"/>
          <w:szCs w:val="32"/>
        </w:rPr>
        <w:t>是自治区人力资源和社会保障厅下属的正处级财政全额拨款事业单位。</w:t>
      </w:r>
      <w:r>
        <w:rPr>
          <w:rFonts w:hint="eastAsia" w:ascii="仿宋_GB2312" w:eastAsia="仿宋_GB2312" w:cs="宋体" w:hAnsiTheme="minorEastAsia"/>
          <w:bCs/>
          <w:color w:val="000000"/>
          <w:sz w:val="32"/>
          <w:szCs w:val="32"/>
        </w:rPr>
        <w:t>核定编制18人，实有在职人数19人；退休干部14人。</w:t>
      </w:r>
    </w:p>
    <w:p>
      <w:pPr>
        <w:spacing w:line="520" w:lineRule="exact"/>
        <w:rPr>
          <w:rFonts w:cs="宋体" w:asciiTheme="minorEastAsia" w:hAnsiTheme="minorEastAsia" w:eastAsiaTheme="minorEastAsia"/>
          <w:bCs/>
          <w:color w:val="000000"/>
          <w:sz w:val="32"/>
          <w:szCs w:val="32"/>
        </w:rPr>
      </w:pPr>
    </w:p>
    <w:p>
      <w:pPr>
        <w:spacing w:line="520" w:lineRule="exact"/>
        <w:ind w:firstLine="640" w:firstLineChars="200"/>
        <w:rPr>
          <w:rFonts w:cs="宋体" w:asciiTheme="minorEastAsia" w:hAnsiTheme="minorEastAsia" w:eastAsiaTheme="minorEastAsia"/>
          <w:bCs/>
          <w:color w:val="000000"/>
          <w:sz w:val="32"/>
          <w:szCs w:val="32"/>
        </w:rPr>
        <w:sectPr>
          <w:pgSz w:w="16838" w:h="11906" w:orient="landscape"/>
          <w:pgMar w:top="1797" w:right="1440" w:bottom="1797" w:left="1440" w:header="851" w:footer="992" w:gutter="0"/>
          <w:cols w:space="425" w:num="1"/>
          <w:docGrid w:linePitch="312" w:charSpace="0"/>
        </w:sectPr>
      </w:pPr>
    </w:p>
    <w:p>
      <w:pPr>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广西壮族自治区人力资源和社会保障厅机关服务中心</w:t>
      </w:r>
      <w:r>
        <w:rPr>
          <w:rFonts w:hint="eastAsia" w:ascii="黑体" w:hAnsi="黑体" w:eastAsia="黑体"/>
          <w:sz w:val="32"/>
          <w:szCs w:val="32"/>
        </w:rPr>
        <w:t>2020年部门决算报表</w:t>
      </w:r>
    </w:p>
    <w:p>
      <w:pPr>
        <w:jc w:val="left"/>
        <w:rPr>
          <w:rFonts w:asciiTheme="minorEastAsia" w:hAnsiTheme="minorEastAsia" w:eastAsiaTheme="minorEastAsia"/>
          <w:b/>
          <w:sz w:val="32"/>
          <w:szCs w:val="32"/>
        </w:rPr>
      </w:pPr>
    </w:p>
    <w:p>
      <w:pPr>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表一：收入支出决算总表</w:t>
      </w:r>
    </w:p>
    <w:p>
      <w:pPr>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xml:space="preserve">                                  收入支出决算总表</w:t>
      </w:r>
    </w:p>
    <w:tbl>
      <w:tblPr>
        <w:tblStyle w:val="4"/>
        <w:tblW w:w="5000" w:type="pct"/>
        <w:tblInd w:w="0" w:type="dxa"/>
        <w:tblLayout w:type="autofit"/>
        <w:tblCellMar>
          <w:top w:w="0" w:type="dxa"/>
          <w:left w:w="108" w:type="dxa"/>
          <w:bottom w:w="0" w:type="dxa"/>
          <w:right w:w="108" w:type="dxa"/>
        </w:tblCellMar>
      </w:tblPr>
      <w:tblGrid>
        <w:gridCol w:w="4197"/>
        <w:gridCol w:w="656"/>
        <w:gridCol w:w="2233"/>
        <w:gridCol w:w="4197"/>
        <w:gridCol w:w="657"/>
        <w:gridCol w:w="2234"/>
      </w:tblGrid>
      <w:tr>
        <w:tblPrEx>
          <w:tblCellMar>
            <w:top w:w="0" w:type="dxa"/>
            <w:left w:w="108" w:type="dxa"/>
            <w:bottom w:w="0" w:type="dxa"/>
            <w:right w:w="108" w:type="dxa"/>
          </w:tblCellMar>
        </w:tblPrEx>
        <w:trPr>
          <w:trHeight w:val="255" w:hRule="atLeast"/>
        </w:trPr>
        <w:tc>
          <w:tcPr>
            <w:tcW w:w="149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49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公开01表</w:t>
            </w:r>
          </w:p>
        </w:tc>
      </w:tr>
      <w:tr>
        <w:tblPrEx>
          <w:tblCellMar>
            <w:top w:w="0" w:type="dxa"/>
            <w:left w:w="108" w:type="dxa"/>
            <w:bottom w:w="0" w:type="dxa"/>
            <w:right w:w="108" w:type="dxa"/>
          </w:tblCellMar>
        </w:tblPrEx>
        <w:trPr>
          <w:trHeight w:val="255" w:hRule="atLeast"/>
        </w:trPr>
        <w:tc>
          <w:tcPr>
            <w:tcW w:w="2500" w:type="pct"/>
            <w:gridSpan w:val="3"/>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部门：广西壮族自治区人力资源和社会保障厅机关服务中心</w:t>
            </w:r>
          </w:p>
        </w:tc>
        <w:tc>
          <w:tcPr>
            <w:tcW w:w="149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50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收入</w:t>
            </w:r>
          </w:p>
        </w:tc>
        <w:tc>
          <w:tcPr>
            <w:tcW w:w="2500" w:type="pct"/>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支出</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行次</w:t>
            </w:r>
          </w:p>
        </w:tc>
        <w:tc>
          <w:tcPr>
            <w:tcW w:w="800"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金额</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行次</w:t>
            </w:r>
          </w:p>
        </w:tc>
        <w:tc>
          <w:tcPr>
            <w:tcW w:w="800"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金额</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栏次</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800"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栏次</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800"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一、一般公共预算财政拨款收入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530.09</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一、一般公共服务支出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104.13</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二、政府性基金预算财政拨款收入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二、外交支出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三、国有资本经营预算财政拨款收入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三、国防支出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四、上级补助收入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四、公共安全支出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五、事业收入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五、教育支出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六、经营收入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六、科学技术支出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七、附属单位上缴收入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七、文化旅游体育与传媒支出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38</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八、其他收入</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8</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0.40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八、社会保障和就业支出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39</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384.88</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9</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九、卫生健康支出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40</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十、节能环保支出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十一、城乡社区支出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十二、农林水支出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十三、交通运输支出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十四、资源勘探工业信息等支出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十五、商业服务业等支出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十六、金融支出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十七、援助其他地区支出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48</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18</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十八、自然资源海洋气象等支出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49</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19</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十九、住房保障支出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50</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二十、粮油物资储备支出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二十一、国有资本经营预算支出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二十二、灾害防治及应急管理支出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23</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二十三、其他支出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b/>
                <w:bCs/>
                <w:color w:val="000000"/>
                <w:kern w:val="0"/>
                <w:sz w:val="20"/>
                <w:szCs w:val="20"/>
              </w:rPr>
            </w:pPr>
            <w:r>
              <w:rPr>
                <w:rFonts w:hint="eastAsia" w:cs="Arial" w:asciiTheme="minorEastAsia" w:hAnsiTheme="minorEastAsia" w:eastAsiaTheme="minorEastAsia"/>
                <w:b/>
                <w:bCs/>
                <w:color w:val="000000"/>
                <w:kern w:val="0"/>
                <w:sz w:val="20"/>
                <w:szCs w:val="20"/>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24</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二十四、债务还本支出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25</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二十五、债务付息支出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26</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二十六、抗疫特别国债安排的支出</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本年收入合计</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27</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530.49</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本年支出合计</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58</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536.99</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使用非财政拨款结余</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28</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结余分配</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59</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年初结转和结余</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29</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6.53</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年末结转和结余</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60</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0.04</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49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总计</w:t>
            </w:r>
          </w:p>
        </w:tc>
        <w:tc>
          <w:tcPr>
            <w:tcW w:w="205" w:type="pct"/>
            <w:tcBorders>
              <w:top w:val="nil"/>
              <w:left w:val="nil"/>
              <w:bottom w:val="single" w:color="000000" w:sz="8"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537.02</w:t>
            </w:r>
          </w:p>
        </w:tc>
        <w:tc>
          <w:tcPr>
            <w:tcW w:w="149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总计</w:t>
            </w:r>
          </w:p>
        </w:tc>
        <w:tc>
          <w:tcPr>
            <w:tcW w:w="2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62</w:t>
            </w:r>
          </w:p>
        </w:tc>
        <w:tc>
          <w:tcPr>
            <w:tcW w:w="800"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537.02</w:t>
            </w:r>
          </w:p>
        </w:tc>
      </w:tr>
      <w:tr>
        <w:tblPrEx>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注：本表反映部门本年度的总收支和年末结转结余情况。本套报表金额单位转换时可能存在尾数误差。</w:t>
            </w:r>
          </w:p>
        </w:tc>
      </w:tr>
      <w:tr>
        <w:tblPrEx>
          <w:tblCellMar>
            <w:top w:w="0" w:type="dxa"/>
            <w:left w:w="108" w:type="dxa"/>
            <w:bottom w:w="0" w:type="dxa"/>
            <w:right w:w="108" w:type="dxa"/>
          </w:tblCellMar>
        </w:tblPrEx>
        <w:trPr>
          <w:trHeight w:val="255" w:hRule="atLeast"/>
        </w:trPr>
        <w:tc>
          <w:tcPr>
            <w:tcW w:w="149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49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r>
      <w:tr>
        <w:tblPrEx>
          <w:tblCellMar>
            <w:top w:w="0" w:type="dxa"/>
            <w:left w:w="108" w:type="dxa"/>
            <w:bottom w:w="0" w:type="dxa"/>
            <w:right w:w="108" w:type="dxa"/>
          </w:tblCellMar>
        </w:tblPrEx>
        <w:trPr>
          <w:trHeight w:val="255" w:hRule="atLeast"/>
        </w:trPr>
        <w:tc>
          <w:tcPr>
            <w:tcW w:w="149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49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800"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r>
    </w:tbl>
    <w:p>
      <w:pPr>
        <w:spacing w:line="520" w:lineRule="exact"/>
        <w:rPr>
          <w:rFonts w:cs="宋体" w:asciiTheme="minorEastAsia" w:hAnsiTheme="minorEastAsia" w:eastAsiaTheme="minorEastAsia"/>
          <w:bCs/>
          <w:color w:val="000000"/>
          <w:sz w:val="32"/>
          <w:szCs w:val="32"/>
        </w:rPr>
      </w:pPr>
    </w:p>
    <w:p>
      <w:pPr>
        <w:spacing w:line="520" w:lineRule="exact"/>
        <w:rPr>
          <w:rFonts w:cs="宋体" w:asciiTheme="minorEastAsia" w:hAnsiTheme="minorEastAsia" w:eastAsiaTheme="minorEastAsia"/>
          <w:bCs/>
          <w:color w:val="000000"/>
          <w:sz w:val="32"/>
          <w:szCs w:val="32"/>
        </w:rPr>
      </w:pPr>
    </w:p>
    <w:p>
      <w:pPr>
        <w:spacing w:line="520" w:lineRule="exact"/>
        <w:rPr>
          <w:rFonts w:cs="宋体" w:asciiTheme="minorEastAsia" w:hAnsiTheme="minorEastAsia" w:eastAsiaTheme="minorEastAsia"/>
          <w:bCs/>
          <w:color w:val="000000"/>
          <w:sz w:val="32"/>
          <w:szCs w:val="32"/>
        </w:rPr>
      </w:pPr>
    </w:p>
    <w:p>
      <w:pPr>
        <w:spacing w:line="520" w:lineRule="exact"/>
        <w:rPr>
          <w:rFonts w:cs="宋体" w:asciiTheme="minorEastAsia" w:hAnsiTheme="minorEastAsia" w:eastAsiaTheme="minorEastAsia"/>
          <w:bCs/>
          <w:color w:val="000000"/>
          <w:sz w:val="32"/>
          <w:szCs w:val="32"/>
        </w:rPr>
      </w:pPr>
    </w:p>
    <w:p>
      <w:pPr>
        <w:spacing w:line="520" w:lineRule="exact"/>
        <w:rPr>
          <w:rFonts w:cs="宋体" w:asciiTheme="minorEastAsia" w:hAnsiTheme="minorEastAsia" w:eastAsiaTheme="minorEastAsia"/>
          <w:bCs/>
          <w:color w:val="000000"/>
          <w:sz w:val="32"/>
          <w:szCs w:val="32"/>
        </w:rPr>
      </w:pPr>
    </w:p>
    <w:p>
      <w:pPr>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b/>
          <w:color w:val="000000"/>
          <w:kern w:val="0"/>
          <w:sz w:val="32"/>
          <w:szCs w:val="32"/>
        </w:rPr>
        <w:t xml:space="preserve">表二：收入决算表       </w:t>
      </w:r>
      <w:r>
        <w:rPr>
          <w:rFonts w:hint="eastAsia" w:cs="宋体" w:asciiTheme="minorEastAsia" w:hAnsiTheme="minorEastAsia" w:eastAsiaTheme="minorEastAsia"/>
          <w:color w:val="000000"/>
          <w:kern w:val="0"/>
          <w:sz w:val="32"/>
          <w:szCs w:val="32"/>
        </w:rPr>
        <w:t xml:space="preserve">              收入决算表</w:t>
      </w:r>
    </w:p>
    <w:tbl>
      <w:tblPr>
        <w:tblStyle w:val="4"/>
        <w:tblW w:w="0" w:type="auto"/>
        <w:tblInd w:w="0" w:type="dxa"/>
        <w:tblLayout w:type="autofit"/>
        <w:tblCellMar>
          <w:top w:w="0" w:type="dxa"/>
          <w:left w:w="108" w:type="dxa"/>
          <w:bottom w:w="0" w:type="dxa"/>
          <w:right w:w="108" w:type="dxa"/>
        </w:tblCellMar>
      </w:tblPr>
      <w:tblGrid>
        <w:gridCol w:w="534"/>
        <w:gridCol w:w="534"/>
        <w:gridCol w:w="534"/>
        <w:gridCol w:w="3956"/>
        <w:gridCol w:w="1268"/>
        <w:gridCol w:w="1268"/>
        <w:gridCol w:w="1184"/>
        <w:gridCol w:w="911"/>
        <w:gridCol w:w="911"/>
        <w:gridCol w:w="1458"/>
        <w:gridCol w:w="1616"/>
      </w:tblGrid>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center"/>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公开02表</w:t>
            </w:r>
          </w:p>
        </w:tc>
      </w:tr>
      <w:tr>
        <w:tblPrEx>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部门：广西壮族自治区人力资源和社会保障厅机关服务中心</w:t>
            </w: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本年收入合计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财政拨款收入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上级补助收入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事业收入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经营收入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其他收入</w:t>
            </w:r>
          </w:p>
        </w:tc>
      </w:tr>
      <w:tr>
        <w:trPr>
          <w:trHeight w:val="312"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科目名称</w:t>
            </w: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栏次</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w:t>
            </w:r>
          </w:p>
        </w:tc>
      </w:tr>
      <w:tr>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530.49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530.09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0.40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104.16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103.76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0.40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人力资源事务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104.16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103.76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0.40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2011003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机关服务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98.50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98.50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2011050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5.67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5.27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0.40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378.35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378.35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309.20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309.20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2080103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机关服务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309.20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309.20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69.15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69.15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8.55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8.55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40.40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40.40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2080506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21011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2101102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221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22102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2210201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注：本表反映部门本年度取得的各项收入情况。</w:t>
            </w:r>
          </w:p>
          <w:p>
            <w:pPr>
              <w:widowControl/>
              <w:jc w:val="left"/>
              <w:rPr>
                <w:rFonts w:cs="Arial" w:asciiTheme="minorEastAsia" w:hAnsiTheme="minorEastAsia" w:eastAsiaTheme="minorEastAsia"/>
                <w:color w:val="000000"/>
                <w:kern w:val="0"/>
                <w:sz w:val="22"/>
                <w:szCs w:val="22"/>
              </w:rPr>
            </w:pPr>
          </w:p>
        </w:tc>
      </w:tr>
    </w:tbl>
    <w:p>
      <w:pPr>
        <w:rPr>
          <w:rFonts w:cs="宋体" w:asciiTheme="minorEastAsia" w:hAnsiTheme="minorEastAsia" w:eastAsiaTheme="minorEastAsia"/>
          <w:color w:val="000000"/>
          <w:kern w:val="0"/>
          <w:sz w:val="32"/>
          <w:szCs w:val="32"/>
        </w:rPr>
      </w:pPr>
    </w:p>
    <w:p>
      <w:pPr>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b/>
          <w:color w:val="000000"/>
          <w:kern w:val="0"/>
          <w:sz w:val="32"/>
          <w:szCs w:val="32"/>
        </w:rPr>
        <w:t xml:space="preserve">表三：支出决算表   </w:t>
      </w:r>
      <w:r>
        <w:rPr>
          <w:rFonts w:hint="eastAsia" w:cs="宋体" w:asciiTheme="minorEastAsia" w:hAnsiTheme="minorEastAsia" w:eastAsiaTheme="minorEastAsia"/>
          <w:color w:val="000000"/>
          <w:kern w:val="0"/>
          <w:sz w:val="32"/>
          <w:szCs w:val="32"/>
        </w:rPr>
        <w:t xml:space="preserve">                  支出决算表</w:t>
      </w:r>
    </w:p>
    <w:tbl>
      <w:tblPr>
        <w:tblStyle w:val="4"/>
        <w:tblW w:w="5000" w:type="pct"/>
        <w:tblInd w:w="0" w:type="dxa"/>
        <w:tblLayout w:type="autofit"/>
        <w:tblCellMar>
          <w:top w:w="0" w:type="dxa"/>
          <w:left w:w="108" w:type="dxa"/>
          <w:bottom w:w="0" w:type="dxa"/>
          <w:right w:w="108" w:type="dxa"/>
        </w:tblCellMar>
      </w:tblPr>
      <w:tblGrid>
        <w:gridCol w:w="329"/>
        <w:gridCol w:w="329"/>
        <w:gridCol w:w="328"/>
        <w:gridCol w:w="3956"/>
        <w:gridCol w:w="1523"/>
        <w:gridCol w:w="1523"/>
        <w:gridCol w:w="1523"/>
        <w:gridCol w:w="1523"/>
        <w:gridCol w:w="1524"/>
        <w:gridCol w:w="1616"/>
      </w:tblGrid>
      <w:tr>
        <w:tblPrEx>
          <w:tblCellMar>
            <w:top w:w="0" w:type="dxa"/>
            <w:left w:w="108" w:type="dxa"/>
            <w:bottom w:w="0" w:type="dxa"/>
            <w:right w:w="108" w:type="dxa"/>
          </w:tblCellMar>
        </w:tblPrEx>
        <w:trPr>
          <w:trHeight w:val="255" w:hRule="atLeast"/>
        </w:trPr>
        <w:tc>
          <w:tcPr>
            <w:tcW w:w="108"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08"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08"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250"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公开03表</w:t>
            </w:r>
          </w:p>
        </w:tc>
      </w:tr>
      <w:tr>
        <w:tblPrEx>
          <w:tblCellMar>
            <w:top w:w="0" w:type="dxa"/>
            <w:left w:w="108" w:type="dxa"/>
            <w:bottom w:w="0" w:type="dxa"/>
            <w:right w:w="108" w:type="dxa"/>
          </w:tblCellMar>
        </w:tblPrEx>
        <w:trPr>
          <w:trHeight w:val="255" w:hRule="atLeast"/>
        </w:trPr>
        <w:tc>
          <w:tcPr>
            <w:tcW w:w="2145" w:type="pct"/>
            <w:gridSpan w:val="5"/>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部门：广西壮族自治区人力资源和社会保障厅机关服务中心</w:t>
            </w:r>
          </w:p>
        </w:tc>
        <w:tc>
          <w:tcPr>
            <w:tcW w:w="57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71" w:type="pct"/>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57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本年支出合计</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基本支出</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项目支出</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上缴上级支出</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经营支出</w:t>
            </w:r>
          </w:p>
        </w:tc>
        <w:tc>
          <w:tcPr>
            <w:tcW w:w="57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324"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功能分类科目编码</w:t>
            </w:r>
          </w:p>
        </w:tc>
        <w:tc>
          <w:tcPr>
            <w:tcW w:w="1250"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科目名称</w:t>
            </w: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12" w:hRule="atLeast"/>
        </w:trPr>
        <w:tc>
          <w:tcPr>
            <w:tcW w:w="32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250"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12" w:hRule="atLeast"/>
        </w:trPr>
        <w:tc>
          <w:tcPr>
            <w:tcW w:w="32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250"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1" w:type="pct"/>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1574"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栏次</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w:t>
            </w:r>
          </w:p>
        </w:tc>
        <w:tc>
          <w:tcPr>
            <w:tcW w:w="571" w:type="pc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w:t>
            </w:r>
          </w:p>
        </w:tc>
      </w:tr>
      <w:tr>
        <w:tblPrEx>
          <w:tblCellMar>
            <w:top w:w="0" w:type="dxa"/>
            <w:left w:w="108" w:type="dxa"/>
            <w:bottom w:w="0" w:type="dxa"/>
            <w:right w:w="108" w:type="dxa"/>
          </w:tblCellMar>
        </w:tblPrEx>
        <w:trPr>
          <w:trHeight w:val="308" w:hRule="atLeast"/>
        </w:trPr>
        <w:tc>
          <w:tcPr>
            <w:tcW w:w="1574"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合计</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536.99</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434.20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102.79</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一般公共服务支出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104.13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75.93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28.20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20110</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人力资源事务</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104.13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75.93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28.20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2011003</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机关服务</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98.50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70.30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28.20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2011050</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事业运行</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5.63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5.63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社会保障和就业支出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384.88</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310.29</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74.59</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20801</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人力资源和社会保障管理事务</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315.73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241.14</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74.59</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2080103</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机关服务</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315.73</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241.14</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74.59</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行政事业单位养老支出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69.15</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69.15</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2080502</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事业单位离退休</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8.55</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8.55</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2080505</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机关事业单位基本养老保险缴费支出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40.40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40.40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2080506</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机关事业单位职业年金缴费支出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20.20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20.20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210</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卫生健康支出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21011</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行政事业单位医疗</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2101102</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事业单位医疗</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221</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住房保障支出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22102</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住房改革支出</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2210201</w:t>
            </w:r>
          </w:p>
        </w:tc>
        <w:tc>
          <w:tcPr>
            <w:tcW w:w="1250"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住房公积金</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71"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注：本表反映部门本年度各项支出情况。</w:t>
            </w: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tc>
      </w:tr>
    </w:tbl>
    <w:p>
      <w:pPr>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表四：财政拨款收入支出决算总表</w:t>
      </w:r>
    </w:p>
    <w:p>
      <w:pPr>
        <w:jc w:val="left"/>
        <w:rPr>
          <w:rFonts w:asciiTheme="minorEastAsia" w:hAnsiTheme="minorEastAsia" w:eastAsiaTheme="minorEastAsia"/>
          <w:b/>
          <w:sz w:val="32"/>
          <w:szCs w:val="32"/>
        </w:rPr>
      </w:pPr>
    </w:p>
    <w:p>
      <w:pPr>
        <w:jc w:val="left"/>
        <w:rPr>
          <w:rFonts w:asciiTheme="minorEastAsia" w:hAnsiTheme="minorEastAsia" w:eastAsiaTheme="minorEastAsia"/>
          <w:sz w:val="32"/>
          <w:szCs w:val="32"/>
        </w:rPr>
      </w:pPr>
      <w:r>
        <w:rPr>
          <w:rFonts w:hint="eastAsia" w:asciiTheme="minorEastAsia" w:hAnsiTheme="minorEastAsia" w:eastAsiaTheme="minorEastAsia"/>
          <w:b/>
          <w:sz w:val="32"/>
          <w:szCs w:val="32"/>
        </w:rPr>
        <w:t xml:space="preserve">                             </w:t>
      </w:r>
      <w:r>
        <w:rPr>
          <w:rFonts w:hint="eastAsia" w:asciiTheme="minorEastAsia" w:hAnsiTheme="minorEastAsia" w:eastAsiaTheme="minorEastAsia"/>
          <w:sz w:val="32"/>
          <w:szCs w:val="32"/>
        </w:rPr>
        <w:t>财政拨款收入支出决算总表</w:t>
      </w:r>
    </w:p>
    <w:tbl>
      <w:tblPr>
        <w:tblStyle w:val="4"/>
        <w:tblW w:w="5000" w:type="pct"/>
        <w:tblInd w:w="0" w:type="dxa"/>
        <w:tblLayout w:type="autofit"/>
        <w:tblCellMar>
          <w:top w:w="0" w:type="dxa"/>
          <w:left w:w="108" w:type="dxa"/>
          <w:bottom w:w="0" w:type="dxa"/>
          <w:right w:w="108" w:type="dxa"/>
        </w:tblCellMar>
      </w:tblPr>
      <w:tblGrid>
        <w:gridCol w:w="2887"/>
        <w:gridCol w:w="528"/>
        <w:gridCol w:w="1492"/>
        <w:gridCol w:w="3164"/>
        <w:gridCol w:w="491"/>
        <w:gridCol w:w="1381"/>
        <w:gridCol w:w="1381"/>
        <w:gridCol w:w="1383"/>
        <w:gridCol w:w="1467"/>
      </w:tblGrid>
      <w:tr>
        <w:tblPrEx>
          <w:tblCellMar>
            <w:top w:w="0" w:type="dxa"/>
            <w:left w:w="108" w:type="dxa"/>
            <w:bottom w:w="0" w:type="dxa"/>
            <w:right w:w="108" w:type="dxa"/>
          </w:tblCellMar>
        </w:tblPrEx>
        <w:trPr>
          <w:trHeight w:val="255" w:hRule="atLeast"/>
        </w:trPr>
        <w:tc>
          <w:tcPr>
            <w:tcW w:w="987"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7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10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7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42" w:type="pct"/>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公开04表</w:t>
            </w:r>
          </w:p>
        </w:tc>
      </w:tr>
      <w:tr>
        <w:tblPrEx>
          <w:tblCellMar>
            <w:top w:w="0" w:type="dxa"/>
            <w:left w:w="108" w:type="dxa"/>
            <w:bottom w:w="0" w:type="dxa"/>
            <w:right w:w="108" w:type="dxa"/>
          </w:tblCellMar>
        </w:tblPrEx>
        <w:trPr>
          <w:trHeight w:val="255" w:hRule="atLeast"/>
        </w:trPr>
        <w:tc>
          <w:tcPr>
            <w:tcW w:w="1667" w:type="pct"/>
            <w:gridSpan w:val="3"/>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部门：广西壮族自治区人力资源和社会保障厅机关服务中心</w:t>
            </w:r>
          </w:p>
        </w:tc>
        <w:tc>
          <w:tcPr>
            <w:tcW w:w="110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7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0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42" w:type="pct"/>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667"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收     入</w:t>
            </w:r>
          </w:p>
        </w:tc>
        <w:tc>
          <w:tcPr>
            <w:tcW w:w="3333" w:type="pct"/>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支     出</w:t>
            </w:r>
          </w:p>
        </w:tc>
      </w:tr>
      <w:tr>
        <w:tblPrEx>
          <w:tblCellMar>
            <w:top w:w="0" w:type="dxa"/>
            <w:left w:w="108" w:type="dxa"/>
            <w:bottom w:w="0" w:type="dxa"/>
            <w:right w:w="108" w:type="dxa"/>
          </w:tblCellMar>
        </w:tblPrEx>
        <w:trPr>
          <w:trHeight w:val="312" w:hRule="atLeast"/>
        </w:trPr>
        <w:tc>
          <w:tcPr>
            <w:tcW w:w="987"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w:t>
            </w:r>
          </w:p>
        </w:tc>
        <w:tc>
          <w:tcPr>
            <w:tcW w:w="17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行次</w:t>
            </w:r>
          </w:p>
        </w:tc>
        <w:tc>
          <w:tcPr>
            <w:tcW w:w="505"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金额</w:t>
            </w:r>
          </w:p>
        </w:tc>
        <w:tc>
          <w:tcPr>
            <w:tcW w:w="1101"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w:t>
            </w:r>
          </w:p>
        </w:tc>
        <w:tc>
          <w:tcPr>
            <w:tcW w:w="17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行次</w:t>
            </w:r>
          </w:p>
        </w:tc>
        <w:tc>
          <w:tcPr>
            <w:tcW w:w="505"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合计</w:t>
            </w:r>
          </w:p>
        </w:tc>
        <w:tc>
          <w:tcPr>
            <w:tcW w:w="505"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一般公共预算财政拨款</w:t>
            </w:r>
          </w:p>
        </w:tc>
        <w:tc>
          <w:tcPr>
            <w:tcW w:w="505"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政府性基金预算财政拨款</w:t>
            </w:r>
          </w:p>
        </w:tc>
        <w:tc>
          <w:tcPr>
            <w:tcW w:w="542"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国有资本经营预算财政拨款</w:t>
            </w:r>
          </w:p>
        </w:tc>
      </w:tr>
      <w:tr>
        <w:tblPrEx>
          <w:tblCellMar>
            <w:top w:w="0" w:type="dxa"/>
            <w:left w:w="108" w:type="dxa"/>
            <w:bottom w:w="0" w:type="dxa"/>
            <w:right w:w="108" w:type="dxa"/>
          </w:tblCellMar>
        </w:tblPrEx>
        <w:trPr>
          <w:trHeight w:val="615" w:hRule="atLeast"/>
        </w:trPr>
        <w:tc>
          <w:tcPr>
            <w:tcW w:w="987" w:type="pct"/>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74"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05"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101"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74"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05"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05"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05"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42"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栏次</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5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栏次</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5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w:t>
            </w:r>
          </w:p>
        </w:tc>
        <w:tc>
          <w:tcPr>
            <w:tcW w:w="5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w:t>
            </w:r>
          </w:p>
        </w:tc>
        <w:tc>
          <w:tcPr>
            <w:tcW w:w="50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w:t>
            </w:r>
          </w:p>
        </w:tc>
        <w:tc>
          <w:tcPr>
            <w:tcW w:w="542"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一、一般公共预算财政拨款</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530.09</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一、一般公共服务支出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33</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103.76</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103.76</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二、政府性基金预算财政拨款</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二、外交支出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34</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三、国有资本经营财政拨款</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三、国防支出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35</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四、公共安全支出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36</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五、教育支出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37</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六、科学技术支出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38</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七、文化旅游体育与传媒支出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39</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8</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八、社会保障和就业支出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384.88</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384.88</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9</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九、卫生健康支出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41</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十、节能环保支出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42</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11</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十一、城乡社区支出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43</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12</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十二、农林水支出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44</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13</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十三、交通运输支出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45</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14</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十四、资源勘探工业信息等支出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46</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15</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十五、商业服务业等支出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47</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16</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十六、金融支出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48</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十七、援助其他地区支出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49</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18</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十八、自然资源海洋气象等支出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19</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十九、住房保障支出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51</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二十、粮油物资储备支出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52</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21</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二十一、国有资本经营预算支出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22</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二十二、灾害防治及应急管理支出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54</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23</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二十三、其他支出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55</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b/>
                <w:bCs/>
                <w:color w:val="000000"/>
                <w:kern w:val="0"/>
                <w:sz w:val="20"/>
                <w:szCs w:val="20"/>
              </w:rPr>
            </w:pPr>
            <w:r>
              <w:rPr>
                <w:rFonts w:hint="eastAsia" w:cs="Arial" w:asciiTheme="minorEastAsia" w:hAnsiTheme="minorEastAsia" w:eastAsiaTheme="minorEastAsia"/>
                <w:b/>
                <w:bCs/>
                <w:color w:val="000000"/>
                <w:kern w:val="0"/>
                <w:sz w:val="20"/>
                <w:szCs w:val="20"/>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24</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二十四、债务还本支出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56</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25</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二十五、债务付息支出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57</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26</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二十六、抗疫特别国债安排的支出</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58</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本年收入合计</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27</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530.09</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本年支出合计</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59</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536.62</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536.62</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年初财政拨款结转和结余</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28</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6.53</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年末财政拨款结转和结余</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一般公共预算财政拨款</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29</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6.53</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61</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政府性基金预算财政拨款</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62</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国有资本经营预算财政拨款</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63</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98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总计</w:t>
            </w:r>
          </w:p>
        </w:tc>
        <w:tc>
          <w:tcPr>
            <w:tcW w:w="174" w:type="pct"/>
            <w:tcBorders>
              <w:top w:val="nil"/>
              <w:left w:val="nil"/>
              <w:bottom w:val="single" w:color="000000" w:sz="8"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32</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536.62</w:t>
            </w:r>
          </w:p>
        </w:tc>
        <w:tc>
          <w:tcPr>
            <w:tcW w:w="1101"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总计</w:t>
            </w:r>
          </w:p>
        </w:tc>
        <w:tc>
          <w:tcPr>
            <w:tcW w:w="174"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64</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536.62</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536.62</w:t>
            </w:r>
          </w:p>
        </w:tc>
        <w:tc>
          <w:tcPr>
            <w:tcW w:w="50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542"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4458" w:type="pct"/>
            <w:gridSpan w:val="8"/>
            <w:tcBorders>
              <w:top w:val="nil"/>
              <w:left w:val="nil"/>
              <w:bottom w:val="nil"/>
              <w:right w:val="nil"/>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注：本表反映部门本年度一般公共预算财政拨款、政府性基金预算财政拨款和国有资本经营预算财政拨款的总收支和年末结转结余情况。</w:t>
            </w:r>
          </w:p>
        </w:tc>
        <w:tc>
          <w:tcPr>
            <w:tcW w:w="542" w:type="pct"/>
            <w:tcBorders>
              <w:top w:val="nil"/>
              <w:left w:val="nil"/>
              <w:bottom w:val="nil"/>
              <w:right w:val="nil"/>
            </w:tcBorders>
            <w:shd w:val="clear" w:color="auto" w:fill="auto"/>
            <w:noWrap/>
            <w:vAlign w:val="center"/>
          </w:tcPr>
          <w:p>
            <w:pPr>
              <w:widowControl/>
              <w:jc w:val="left"/>
              <w:rPr>
                <w:rFonts w:cs="Arial" w:asciiTheme="minorEastAsia" w:hAnsiTheme="minorEastAsia" w:eastAsiaTheme="minorEastAsia"/>
                <w:color w:val="000000"/>
                <w:kern w:val="0"/>
                <w:sz w:val="20"/>
                <w:szCs w:val="20"/>
              </w:rPr>
            </w:pPr>
          </w:p>
        </w:tc>
      </w:tr>
    </w:tbl>
    <w:p>
      <w:pPr>
        <w:rPr>
          <w:rFonts w:asciiTheme="minorEastAsia" w:hAnsiTheme="minorEastAsia" w:eastAsiaTheme="minorEastAsia"/>
        </w:rPr>
      </w:pPr>
    </w:p>
    <w:p>
      <w:pPr>
        <w:rPr>
          <w:rFonts w:asciiTheme="minorEastAsia" w:hAnsiTheme="minorEastAsia" w:eastAsiaTheme="minorEastAsia"/>
        </w:rPr>
      </w:pPr>
    </w:p>
    <w:p>
      <w:pPr>
        <w:widowControl/>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 xml:space="preserve">表五：一般公共预算财政拨款支出决算表 </w:t>
      </w:r>
    </w:p>
    <w:p>
      <w:pPr>
        <w:widowControl/>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 xml:space="preserve">     </w:t>
      </w:r>
    </w:p>
    <w:p>
      <w:pPr>
        <w:widowControl/>
        <w:jc w:val="center"/>
        <w:rPr>
          <w:rFonts w:cs="Arial"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32"/>
          <w:szCs w:val="32"/>
        </w:rPr>
        <w:t>一般公共预算财政拨款支出决算表</w:t>
      </w:r>
    </w:p>
    <w:tbl>
      <w:tblPr>
        <w:tblStyle w:val="4"/>
        <w:tblW w:w="5000" w:type="pct"/>
        <w:tblInd w:w="0" w:type="dxa"/>
        <w:tblLayout w:type="autofit"/>
        <w:tblCellMar>
          <w:top w:w="0" w:type="dxa"/>
          <w:left w:w="108" w:type="dxa"/>
          <w:bottom w:w="0" w:type="dxa"/>
          <w:right w:w="108" w:type="dxa"/>
        </w:tblCellMar>
      </w:tblPr>
      <w:tblGrid>
        <w:gridCol w:w="980"/>
        <w:gridCol w:w="981"/>
        <w:gridCol w:w="981"/>
        <w:gridCol w:w="5885"/>
        <w:gridCol w:w="1313"/>
        <w:gridCol w:w="1630"/>
        <w:gridCol w:w="2404"/>
      </w:tblGrid>
      <w:tr>
        <w:tblPrEx>
          <w:tblCellMar>
            <w:top w:w="0" w:type="dxa"/>
            <w:left w:w="108" w:type="dxa"/>
            <w:bottom w:w="0" w:type="dxa"/>
            <w:right w:w="108" w:type="dxa"/>
          </w:tblCellMar>
        </w:tblPrEx>
        <w:trPr>
          <w:trHeight w:val="255" w:hRule="atLeast"/>
        </w:trPr>
        <w:tc>
          <w:tcPr>
            <w:tcW w:w="346"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346"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346"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076"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463"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57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848" w:type="pct"/>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公开05表</w:t>
            </w:r>
          </w:p>
        </w:tc>
      </w:tr>
      <w:tr>
        <w:tblPrEx>
          <w:tblCellMar>
            <w:top w:w="0" w:type="dxa"/>
            <w:left w:w="108" w:type="dxa"/>
            <w:bottom w:w="0" w:type="dxa"/>
            <w:right w:w="108" w:type="dxa"/>
          </w:tblCellMar>
        </w:tblPrEx>
        <w:trPr>
          <w:trHeight w:val="255" w:hRule="atLeast"/>
        </w:trPr>
        <w:tc>
          <w:tcPr>
            <w:tcW w:w="3577" w:type="pct"/>
            <w:gridSpan w:val="5"/>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部门：广西壮族自治区人力资源和社会保障厅机关服务中心</w:t>
            </w:r>
          </w:p>
        </w:tc>
        <w:tc>
          <w:tcPr>
            <w:tcW w:w="575"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848" w:type="pct"/>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11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w:t>
            </w:r>
          </w:p>
        </w:tc>
        <w:tc>
          <w:tcPr>
            <w:tcW w:w="1886" w:type="pct"/>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本年支出</w:t>
            </w:r>
          </w:p>
        </w:tc>
      </w:tr>
      <w:tr>
        <w:trPr>
          <w:trHeight w:val="312" w:hRule="atLeast"/>
        </w:trPr>
        <w:tc>
          <w:tcPr>
            <w:tcW w:w="103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功能分类科目编码</w:t>
            </w:r>
          </w:p>
        </w:tc>
        <w:tc>
          <w:tcPr>
            <w:tcW w:w="2076"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科目名称</w:t>
            </w:r>
          </w:p>
        </w:tc>
        <w:tc>
          <w:tcPr>
            <w:tcW w:w="463"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小计</w:t>
            </w:r>
          </w:p>
        </w:tc>
        <w:tc>
          <w:tcPr>
            <w:tcW w:w="575"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基本支出</w:t>
            </w:r>
          </w:p>
        </w:tc>
        <w:tc>
          <w:tcPr>
            <w:tcW w:w="848"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038"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2076"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463"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5"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848"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12" w:hRule="atLeast"/>
        </w:trPr>
        <w:tc>
          <w:tcPr>
            <w:tcW w:w="1038"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2076"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463"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575"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848"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3114"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栏次</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w:t>
            </w:r>
          </w:p>
        </w:tc>
        <w:tc>
          <w:tcPr>
            <w:tcW w:w="575"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w:t>
            </w:r>
          </w:p>
        </w:tc>
        <w:tc>
          <w:tcPr>
            <w:tcW w:w="848" w:type="pc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w:t>
            </w:r>
          </w:p>
        </w:tc>
      </w:tr>
      <w:tr>
        <w:trPr>
          <w:trHeight w:val="308" w:hRule="atLeast"/>
        </w:trPr>
        <w:tc>
          <w:tcPr>
            <w:tcW w:w="3114" w:type="pct"/>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合计</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536.62</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433.84</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102.79</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一般公共服务支出</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103.76</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75.57</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28.20</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20110</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人力资源事务</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103.76</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75.57</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28.20</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2011003</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机关服务</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98.50</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70.30</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28.20</w:t>
            </w:r>
          </w:p>
        </w:tc>
      </w:tr>
      <w:tr>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2011050</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事业运行</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5.27</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5.27</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社会保障和就业支出</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384.88</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310.29</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74.59</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20801</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人力资源和社会保障管理事务</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315.73</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241.14</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74.59</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2080103</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机关服务</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315.73</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241.14</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74.59</w:t>
            </w:r>
          </w:p>
        </w:tc>
      </w:tr>
      <w:tr>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行政事业单位养老支出</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69.15</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69.15</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2080502</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事业单位离退休</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8.55</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8.55</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2080505</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机关事业单位基本养老保险缴费支出</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40.40</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40.40</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2080506</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机关事业单位职业年金缴费支出</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20.20</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20.20</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210</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卫生健康支出</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21011</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行政事业单位医疗</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2101102</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事业单位医疗</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221</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住房保障支出</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22102</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住房改革支出</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103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2210201</w:t>
            </w:r>
          </w:p>
        </w:tc>
        <w:tc>
          <w:tcPr>
            <w:tcW w:w="2076" w:type="pct"/>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住房公积金</w:t>
            </w:r>
          </w:p>
        </w:tc>
        <w:tc>
          <w:tcPr>
            <w:tcW w:w="463"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57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848"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注：本表反映部门本年度一般公共预算财政拨款支出情况。</w:t>
            </w: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p>
            <w:pPr>
              <w:widowControl/>
              <w:jc w:val="left"/>
              <w:rPr>
                <w:rFonts w:cs="Arial" w:asciiTheme="minorEastAsia" w:hAnsiTheme="minorEastAsia" w:eastAsiaTheme="minorEastAsia"/>
                <w:color w:val="000000"/>
                <w:kern w:val="0"/>
                <w:sz w:val="22"/>
                <w:szCs w:val="22"/>
              </w:rPr>
            </w:pPr>
          </w:p>
        </w:tc>
      </w:tr>
    </w:tbl>
    <w:p>
      <w:pPr>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表六：一般公共预算财政拨款基本支出决算表</w:t>
      </w:r>
    </w:p>
    <w:p>
      <w:pPr>
        <w:rPr>
          <w:rFonts w:cs="宋体" w:asciiTheme="minorEastAsia" w:hAnsiTheme="minorEastAsia" w:eastAsiaTheme="minorEastAsia"/>
          <w:b/>
          <w:color w:val="000000"/>
          <w:kern w:val="0"/>
          <w:sz w:val="32"/>
          <w:szCs w:val="32"/>
        </w:rPr>
      </w:pPr>
    </w:p>
    <w:p>
      <w:pPr>
        <w:jc w:val="center"/>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一般公共预算财政拨款基本支出决算表</w:t>
      </w:r>
    </w:p>
    <w:tbl>
      <w:tblPr>
        <w:tblStyle w:val="4"/>
        <w:tblW w:w="5000" w:type="pct"/>
        <w:tblInd w:w="0" w:type="dxa"/>
        <w:tblLayout w:type="autofit"/>
        <w:tblCellMar>
          <w:top w:w="0" w:type="dxa"/>
          <w:left w:w="108" w:type="dxa"/>
          <w:bottom w:w="0" w:type="dxa"/>
          <w:right w:w="108" w:type="dxa"/>
        </w:tblCellMar>
      </w:tblPr>
      <w:tblGrid>
        <w:gridCol w:w="879"/>
        <w:gridCol w:w="3187"/>
        <w:gridCol w:w="193"/>
        <w:gridCol w:w="558"/>
        <w:gridCol w:w="696"/>
        <w:gridCol w:w="2134"/>
        <w:gridCol w:w="165"/>
        <w:gridCol w:w="490"/>
        <w:gridCol w:w="696"/>
        <w:gridCol w:w="3861"/>
        <w:gridCol w:w="1315"/>
      </w:tblGrid>
      <w:tr>
        <w:tblPrEx>
          <w:tblCellMar>
            <w:top w:w="0" w:type="dxa"/>
            <w:left w:w="108" w:type="dxa"/>
            <w:bottom w:w="0" w:type="dxa"/>
            <w:right w:w="108" w:type="dxa"/>
          </w:tblCellMar>
        </w:tblPrEx>
        <w:trPr>
          <w:trHeight w:val="255" w:hRule="atLeast"/>
        </w:trPr>
        <w:tc>
          <w:tcPr>
            <w:tcW w:w="328"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288"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03"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3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724"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3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3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31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445" w:type="pct"/>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18"/>
                <w:szCs w:val="18"/>
              </w:rPr>
              <w:t>公开06表</w:t>
            </w:r>
          </w:p>
        </w:tc>
      </w:tr>
      <w:tr>
        <w:tblPrEx>
          <w:tblCellMar>
            <w:top w:w="0" w:type="dxa"/>
            <w:left w:w="108" w:type="dxa"/>
            <w:bottom w:w="0" w:type="dxa"/>
            <w:right w:w="108" w:type="dxa"/>
          </w:tblCellMar>
        </w:tblPrEx>
        <w:trPr>
          <w:trHeight w:val="255" w:hRule="atLeast"/>
        </w:trPr>
        <w:tc>
          <w:tcPr>
            <w:tcW w:w="1818" w:type="pct"/>
            <w:gridSpan w:val="4"/>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部门：广西壮族自治区人力资源和社会保障厅机关服务中心</w:t>
            </w:r>
          </w:p>
        </w:tc>
        <w:tc>
          <w:tcPr>
            <w:tcW w:w="23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724" w:type="pct"/>
            <w:gridSpan w:val="2"/>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3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234"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311" w:type="pct"/>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445" w:type="pct"/>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81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人员经费</w:t>
            </w:r>
          </w:p>
        </w:tc>
        <w:tc>
          <w:tcPr>
            <w:tcW w:w="3182" w:type="pct"/>
            <w:gridSpan w:val="7"/>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公用经费</w:t>
            </w:r>
          </w:p>
        </w:tc>
      </w:tr>
      <w:tr>
        <w:tblPrEx>
          <w:tblCellMar>
            <w:top w:w="0" w:type="dxa"/>
            <w:left w:w="108" w:type="dxa"/>
            <w:bottom w:w="0" w:type="dxa"/>
            <w:right w:w="108" w:type="dxa"/>
          </w:tblCellMar>
        </w:tblPrEx>
        <w:trPr>
          <w:trHeight w:val="312" w:hRule="atLeast"/>
        </w:trPr>
        <w:tc>
          <w:tcPr>
            <w:tcW w:w="328"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科目编码</w:t>
            </w:r>
          </w:p>
        </w:tc>
        <w:tc>
          <w:tcPr>
            <w:tcW w:w="1217"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科目名称</w:t>
            </w:r>
          </w:p>
        </w:tc>
        <w:tc>
          <w:tcPr>
            <w:tcW w:w="274"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决算数</w:t>
            </w:r>
          </w:p>
        </w:tc>
        <w:tc>
          <w:tcPr>
            <w:tcW w:w="23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科目编码</w:t>
            </w:r>
          </w:p>
        </w:tc>
        <w:tc>
          <w:tcPr>
            <w:tcW w:w="64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科目名称</w:t>
            </w:r>
          </w:p>
        </w:tc>
        <w:tc>
          <w:tcPr>
            <w:tcW w:w="314"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决算数</w:t>
            </w:r>
          </w:p>
        </w:tc>
        <w:tc>
          <w:tcPr>
            <w:tcW w:w="23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科目编码</w:t>
            </w:r>
          </w:p>
        </w:tc>
        <w:tc>
          <w:tcPr>
            <w:tcW w:w="1311"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科目名称</w:t>
            </w:r>
          </w:p>
        </w:tc>
        <w:tc>
          <w:tcPr>
            <w:tcW w:w="445"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决算数</w:t>
            </w:r>
          </w:p>
        </w:tc>
      </w:tr>
      <w:tr>
        <w:tblPrEx>
          <w:tblCellMar>
            <w:top w:w="0" w:type="dxa"/>
            <w:left w:w="108" w:type="dxa"/>
            <w:bottom w:w="0" w:type="dxa"/>
            <w:right w:w="108" w:type="dxa"/>
          </w:tblCellMar>
        </w:tblPrEx>
        <w:trPr>
          <w:trHeight w:val="312" w:hRule="atLeast"/>
        </w:trPr>
        <w:tc>
          <w:tcPr>
            <w:tcW w:w="328" w:type="pct"/>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217"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274" w:type="pct"/>
            <w:gridSpan w:val="2"/>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234"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644"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314" w:type="pct"/>
            <w:gridSpan w:val="2"/>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234"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311"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445" w:type="pct"/>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工资福利支出</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375.13</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商品和服务支出</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39.46</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307</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债务利息及费用支出</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30101</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基本工资</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96.75</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30201</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办公费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0.02</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30701</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国内债务付息</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30102</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津贴补贴</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91.36</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30202</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印刷费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30702</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国外债务付息</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30103</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奖金</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75.67</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30203</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咨询费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资本性支出</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30106</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伙食补助费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30204</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手续费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31001</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房屋建筑物购建</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30107</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绩效工资</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30205</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水费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31002</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办公设备购置</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30108</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机关事业单位基本养老保险缴费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40.40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30206</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电费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31003</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专用设备购置</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30109</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职业年金缴费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20.20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30207</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邮电费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2.70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31005</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基础设施建设</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30110</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职工基本医疗保险缴费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17.68</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30208</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取暖费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31006</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大型修缮</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30111</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公务员医疗补助缴费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30209</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物业管理费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31007</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信息网络及软件购置更新</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30112</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其他社会保障缴费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2.78</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30211</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差旅费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1.79</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31008</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物资储备</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30113</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住房公积金</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30212</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因公出国（境）费用</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31009</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土地补偿</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30114</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医疗费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30213</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维修（护）费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31010</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安置补助</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30199</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其他工资福利支出</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30214</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租赁费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31011</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地上附着物和青苗补偿</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对个人和家庭的补助</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19.24</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30215</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会议费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31012</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拆迁补偿</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30301</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离休费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30216</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培训费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31013</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公务用车购置</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30302</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退休费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11.20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30217</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公务接待费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31019</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其他交通工具购置</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30303</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退职（役）费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30218</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专用材料费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31021</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文物和陈列品购置</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30304</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抚恤金</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30224</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被装购置费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31022</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无形资产购置</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30305</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生活补助</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30225</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专用燃料费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31099</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其他资本性支出</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30306</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救济费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30226</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劳务费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399</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其他支出</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30307</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医疗费补助</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30227</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委托业务费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39906</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赠与</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30308</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助学金</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30228</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工会经费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5.05</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39907</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国家赔偿费用支出</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30309</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奖励金</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30229</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福利费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1.33</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39908</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对民间非营利组织和群众性自治组织补贴</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30310</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个人农业生产补贴</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30231</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公务用车运行维护费</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39999</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其他支出</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30311</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代缴社会保险费</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30239</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其他交通费用</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19.26</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30399</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其他对个人和家庭的补助</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8.04</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30240</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税金及附加费用</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328"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217"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30299</w:t>
            </w:r>
          </w:p>
        </w:tc>
        <w:tc>
          <w:tcPr>
            <w:tcW w:w="64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xml:space="preserve">  其他商品和服务支出</w:t>
            </w:r>
          </w:p>
        </w:tc>
        <w:tc>
          <w:tcPr>
            <w:tcW w:w="31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9.32</w:t>
            </w:r>
          </w:p>
        </w:tc>
        <w:tc>
          <w:tcPr>
            <w:tcW w:w="234"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311" w:type="pct"/>
            <w:tcBorders>
              <w:top w:val="nil"/>
              <w:left w:val="nil"/>
              <w:bottom w:val="single" w:color="000000" w:sz="4" w:space="0"/>
              <w:right w:val="single" w:color="000000" w:sz="4" w:space="0"/>
            </w:tcBorders>
            <w:shd w:val="clear" w:color="FFFFFF" w:fill="C0C0C0"/>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545"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人员经费合计</w:t>
            </w:r>
          </w:p>
        </w:tc>
        <w:tc>
          <w:tcPr>
            <w:tcW w:w="274"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394.38</w:t>
            </w:r>
          </w:p>
        </w:tc>
        <w:tc>
          <w:tcPr>
            <w:tcW w:w="2737" w:type="pct"/>
            <w:gridSpan w:val="6"/>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公用经费合计</w:t>
            </w:r>
          </w:p>
        </w:tc>
        <w:tc>
          <w:tcPr>
            <w:tcW w:w="445" w:type="pct"/>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39.46</w:t>
            </w:r>
          </w:p>
        </w:tc>
      </w:tr>
      <w:tr>
        <w:tblPrEx>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注：本表反映部门本年度一般公共预算财政拨款基本支出明细情况。</w:t>
            </w:r>
          </w:p>
        </w:tc>
      </w:tr>
    </w:tbl>
    <w:p>
      <w:pPr>
        <w:jc w:val="left"/>
        <w:rPr>
          <w:rFonts w:cs="宋体" w:asciiTheme="minorEastAsia" w:hAnsiTheme="minorEastAsia" w:eastAsiaTheme="minorEastAsia"/>
          <w:color w:val="000000"/>
          <w:kern w:val="0"/>
          <w:sz w:val="32"/>
          <w:szCs w:val="32"/>
        </w:rPr>
      </w:pPr>
    </w:p>
    <w:p>
      <w:pPr>
        <w:rPr>
          <w:rFonts w:cs="宋体" w:asciiTheme="minorEastAsia" w:hAnsiTheme="minorEastAsia" w:eastAsiaTheme="minorEastAsia"/>
          <w:color w:val="000000"/>
          <w:kern w:val="0"/>
          <w:sz w:val="32"/>
          <w:szCs w:val="32"/>
        </w:rPr>
      </w:pPr>
    </w:p>
    <w:p>
      <w:pPr>
        <w:rPr>
          <w:rFonts w:cs="宋体" w:asciiTheme="minorEastAsia" w:hAnsiTheme="minorEastAsia" w:eastAsiaTheme="minorEastAsia"/>
          <w:b/>
          <w:color w:val="000000"/>
          <w:kern w:val="0"/>
          <w:sz w:val="32"/>
          <w:szCs w:val="32"/>
        </w:rPr>
      </w:pPr>
    </w:p>
    <w:p>
      <w:pPr>
        <w:rPr>
          <w:rFonts w:cs="宋体" w:asciiTheme="minorEastAsia" w:hAnsiTheme="minorEastAsia" w:eastAsiaTheme="minorEastAsia"/>
          <w:b/>
          <w:color w:val="000000"/>
          <w:kern w:val="0"/>
          <w:sz w:val="32"/>
          <w:szCs w:val="32"/>
        </w:rPr>
      </w:pPr>
    </w:p>
    <w:p>
      <w:pPr>
        <w:rPr>
          <w:rFonts w:cs="宋体" w:asciiTheme="minorEastAsia" w:hAnsiTheme="minorEastAsia" w:eastAsiaTheme="minorEastAsia"/>
          <w:b/>
          <w:color w:val="000000"/>
          <w:kern w:val="0"/>
          <w:sz w:val="32"/>
          <w:szCs w:val="32"/>
        </w:rPr>
      </w:pPr>
    </w:p>
    <w:p>
      <w:pPr>
        <w:rPr>
          <w:rFonts w:cs="宋体" w:asciiTheme="minorEastAsia" w:hAnsiTheme="minorEastAsia" w:eastAsiaTheme="minorEastAsia"/>
          <w:b/>
          <w:color w:val="000000"/>
          <w:kern w:val="0"/>
          <w:sz w:val="32"/>
          <w:szCs w:val="32"/>
        </w:rPr>
      </w:pPr>
    </w:p>
    <w:p>
      <w:pPr>
        <w:rPr>
          <w:rFonts w:cs="宋体" w:asciiTheme="minorEastAsia" w:hAnsiTheme="minorEastAsia" w:eastAsiaTheme="minorEastAsia"/>
          <w:b/>
          <w:color w:val="000000"/>
          <w:kern w:val="0"/>
          <w:sz w:val="32"/>
          <w:szCs w:val="32"/>
        </w:rPr>
      </w:pPr>
    </w:p>
    <w:p>
      <w:pPr>
        <w:rPr>
          <w:rFonts w:cs="宋体" w:asciiTheme="minorEastAsia" w:hAnsiTheme="minorEastAsia" w:eastAsiaTheme="minorEastAsia"/>
          <w:b/>
          <w:color w:val="000000"/>
          <w:kern w:val="0"/>
          <w:sz w:val="32"/>
          <w:szCs w:val="32"/>
        </w:rPr>
      </w:pPr>
    </w:p>
    <w:p>
      <w:pPr>
        <w:rPr>
          <w:rFonts w:cs="宋体" w:asciiTheme="minorEastAsia" w:hAnsiTheme="minorEastAsia" w:eastAsiaTheme="minorEastAsia"/>
          <w:b/>
          <w:color w:val="000000"/>
          <w:kern w:val="0"/>
          <w:sz w:val="32"/>
          <w:szCs w:val="32"/>
        </w:rPr>
      </w:pPr>
    </w:p>
    <w:p>
      <w:pPr>
        <w:rPr>
          <w:rFonts w:cs="宋体" w:asciiTheme="minorEastAsia" w:hAnsiTheme="minorEastAsia" w:eastAsiaTheme="minorEastAsia"/>
          <w:b/>
          <w:color w:val="000000"/>
          <w:kern w:val="0"/>
          <w:sz w:val="32"/>
          <w:szCs w:val="32"/>
        </w:rPr>
      </w:pPr>
    </w:p>
    <w:p>
      <w:pPr>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表七：一般公共预算财政拨款安排的“三公”经费支出决算表</w:t>
      </w:r>
    </w:p>
    <w:p>
      <w:pPr>
        <w:jc w:val="center"/>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一般公共预算财政拨款安排的“三公”经费支出决算表</w:t>
      </w:r>
    </w:p>
    <w:p>
      <w:pPr>
        <w:autoSpaceDE w:val="0"/>
        <w:autoSpaceDN w:val="0"/>
        <w:adjustRightInd w:val="0"/>
        <w:spacing w:line="560" w:lineRule="exact"/>
        <w:jc w:val="left"/>
        <w:rPr>
          <w:rFonts w:cs="宋体" w:asciiTheme="minorEastAsia" w:hAnsiTheme="minorEastAsia" w:eastAsiaTheme="minorEastAsia"/>
          <w:color w:val="000000"/>
          <w:kern w:val="0"/>
          <w:sz w:val="32"/>
          <w:szCs w:val="32"/>
        </w:rPr>
      </w:pPr>
    </w:p>
    <w:tbl>
      <w:tblPr>
        <w:tblStyle w:val="4"/>
        <w:tblW w:w="0" w:type="auto"/>
        <w:tblInd w:w="0" w:type="dxa"/>
        <w:tblLayout w:type="autofit"/>
        <w:tblCellMar>
          <w:top w:w="0" w:type="dxa"/>
          <w:left w:w="108" w:type="dxa"/>
          <w:bottom w:w="0" w:type="dxa"/>
          <w:right w:w="108" w:type="dxa"/>
        </w:tblCellMar>
      </w:tblPr>
      <w:tblGrid>
        <w:gridCol w:w="825"/>
        <w:gridCol w:w="1847"/>
        <w:gridCol w:w="825"/>
        <w:gridCol w:w="1624"/>
        <w:gridCol w:w="1211"/>
        <w:gridCol w:w="1090"/>
        <w:gridCol w:w="618"/>
        <w:gridCol w:w="1597"/>
        <w:gridCol w:w="618"/>
        <w:gridCol w:w="1211"/>
        <w:gridCol w:w="1211"/>
        <w:gridCol w:w="1497"/>
      </w:tblGrid>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公开07表</w:t>
            </w:r>
          </w:p>
        </w:tc>
      </w:tr>
      <w:tr>
        <w:tblPrEx>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部门：广西壮族自治区人力资源和社会保障厅机关服务中心</w:t>
            </w: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预算数</w:t>
            </w:r>
          </w:p>
        </w:tc>
        <w:tc>
          <w:tcPr>
            <w:tcW w:w="0" w:type="auto"/>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决算数</w:t>
            </w:r>
          </w:p>
        </w:tc>
      </w:tr>
      <w:tr>
        <w:tblPrEx>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因公出国（境）费</w:t>
            </w:r>
          </w:p>
        </w:tc>
        <w:tc>
          <w:tcPr>
            <w:tcW w:w="0" w:type="auto"/>
            <w:gridSpan w:val="3"/>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公务用车购置及运行费</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公务接待费</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因公出国（境）费</w:t>
            </w:r>
          </w:p>
        </w:tc>
        <w:tc>
          <w:tcPr>
            <w:tcW w:w="0" w:type="auto"/>
            <w:gridSpan w:val="3"/>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公务用车购置及运行费</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公务接待费</w:t>
            </w:r>
          </w:p>
        </w:tc>
      </w:tr>
      <w:tr>
        <w:tblPrEx>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小计</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公务用车购置费</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公务用车运行费</w:t>
            </w: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小计</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公务用车购置费</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公务用车运行费</w:t>
            </w:r>
          </w:p>
        </w:tc>
        <w:tc>
          <w:tcPr>
            <w:tcW w:w="0" w:type="auto"/>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7</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8</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9</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10</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11</w:t>
            </w:r>
          </w:p>
        </w:tc>
        <w:tc>
          <w:tcPr>
            <w:tcW w:w="0" w:type="auto"/>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0.20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0.00</w:t>
            </w:r>
          </w:p>
        </w:tc>
      </w:tr>
      <w:tr>
        <w:tblPrEx>
          <w:tblCellMar>
            <w:top w:w="0" w:type="dxa"/>
            <w:left w:w="108" w:type="dxa"/>
            <w:bottom w:w="0" w:type="dxa"/>
            <w:right w:w="108" w:type="dxa"/>
          </w:tblCellMar>
        </w:tblPrEx>
        <w:trPr>
          <w:trHeight w:val="615" w:hRule="atLeast"/>
        </w:trPr>
        <w:tc>
          <w:tcPr>
            <w:tcW w:w="0" w:type="auto"/>
            <w:gridSpan w:val="12"/>
            <w:tcBorders>
              <w:top w:val="nil"/>
              <w:left w:val="nil"/>
              <w:bottom w:val="nil"/>
              <w:right w:val="nil"/>
            </w:tcBorders>
            <w:shd w:val="clear" w:color="auto" w:fill="auto"/>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cs="Arial" w:asciiTheme="minorEastAsia" w:hAnsiTheme="minorEastAsia" w:eastAsiaTheme="minorEastAsia"/>
                <w:color w:val="000000"/>
                <w:kern w:val="0"/>
                <w:sz w:val="22"/>
                <w:szCs w:val="22"/>
              </w:rPr>
            </w:pPr>
          </w:p>
          <w:p>
            <w:pPr>
              <w:autoSpaceDE w:val="0"/>
              <w:autoSpaceDN w:val="0"/>
              <w:adjustRightInd w:val="0"/>
              <w:spacing w:line="560" w:lineRule="exact"/>
              <w:jc w:val="left"/>
              <w:rPr>
                <w:rFonts w:cs="宋体" w:asciiTheme="minorEastAsia" w:hAnsiTheme="minorEastAsia" w:eastAsiaTheme="minorEastAsia"/>
                <w:color w:val="000000"/>
                <w:kern w:val="0"/>
                <w:sz w:val="32"/>
                <w:szCs w:val="32"/>
              </w:rPr>
            </w:pPr>
          </w:p>
          <w:p>
            <w:pPr>
              <w:autoSpaceDE w:val="0"/>
              <w:autoSpaceDN w:val="0"/>
              <w:adjustRightInd w:val="0"/>
              <w:spacing w:line="560" w:lineRule="exact"/>
              <w:jc w:val="left"/>
              <w:rPr>
                <w:rFonts w:cs="宋体" w:asciiTheme="minorEastAsia" w:hAnsiTheme="minorEastAsia" w:eastAsiaTheme="minorEastAsia"/>
                <w:b/>
                <w:color w:val="000000"/>
                <w:kern w:val="0"/>
                <w:sz w:val="32"/>
                <w:szCs w:val="32"/>
              </w:rPr>
            </w:pPr>
          </w:p>
          <w:p>
            <w:pPr>
              <w:autoSpaceDE w:val="0"/>
              <w:autoSpaceDN w:val="0"/>
              <w:adjustRightInd w:val="0"/>
              <w:spacing w:line="560" w:lineRule="exact"/>
              <w:jc w:val="left"/>
              <w:rPr>
                <w:rFonts w:cs="宋体" w:asciiTheme="minorEastAsia" w:hAnsiTheme="minorEastAsia" w:eastAsiaTheme="minorEastAsia"/>
                <w:b/>
                <w:color w:val="000000"/>
                <w:kern w:val="0"/>
                <w:sz w:val="32"/>
                <w:szCs w:val="32"/>
              </w:rPr>
            </w:pPr>
          </w:p>
          <w:p>
            <w:pPr>
              <w:autoSpaceDE w:val="0"/>
              <w:autoSpaceDN w:val="0"/>
              <w:adjustRightInd w:val="0"/>
              <w:spacing w:line="560" w:lineRule="exact"/>
              <w:jc w:val="left"/>
              <w:rPr>
                <w:rFonts w:cs="宋体" w:asciiTheme="minorEastAsia" w:hAnsiTheme="minorEastAsia" w:eastAsiaTheme="minorEastAsia"/>
                <w:b/>
                <w:color w:val="000000"/>
                <w:kern w:val="0"/>
                <w:sz w:val="32"/>
                <w:szCs w:val="32"/>
              </w:rPr>
            </w:pPr>
          </w:p>
          <w:p>
            <w:pPr>
              <w:autoSpaceDE w:val="0"/>
              <w:autoSpaceDN w:val="0"/>
              <w:adjustRightInd w:val="0"/>
              <w:spacing w:line="560" w:lineRule="exact"/>
              <w:jc w:val="left"/>
              <w:rPr>
                <w:rFonts w:cs="宋体" w:asciiTheme="minorEastAsia" w:hAnsiTheme="minorEastAsia" w:eastAsiaTheme="minorEastAsia"/>
                <w:b/>
                <w:color w:val="000000"/>
                <w:kern w:val="0"/>
                <w:sz w:val="32"/>
                <w:szCs w:val="32"/>
              </w:rPr>
            </w:pPr>
          </w:p>
          <w:p>
            <w:pPr>
              <w:autoSpaceDE w:val="0"/>
              <w:autoSpaceDN w:val="0"/>
              <w:adjustRightInd w:val="0"/>
              <w:spacing w:line="560" w:lineRule="exact"/>
              <w:jc w:val="left"/>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表八：政府性基金预算财政拨款收入支出决算表</w:t>
            </w:r>
          </w:p>
          <w:p>
            <w:pPr>
              <w:autoSpaceDE w:val="0"/>
              <w:autoSpaceDN w:val="0"/>
              <w:adjustRightInd w:val="0"/>
              <w:spacing w:line="560" w:lineRule="exact"/>
              <w:jc w:val="left"/>
              <w:rPr>
                <w:rFonts w:cs="宋体" w:asciiTheme="minorEastAsia" w:hAnsiTheme="minorEastAsia" w:eastAsiaTheme="minorEastAsia"/>
                <w:b/>
                <w:color w:val="000000"/>
                <w:kern w:val="0"/>
                <w:sz w:val="32"/>
                <w:szCs w:val="32"/>
              </w:rPr>
            </w:pPr>
          </w:p>
          <w:p>
            <w:pPr>
              <w:autoSpaceDE w:val="0"/>
              <w:autoSpaceDN w:val="0"/>
              <w:adjustRightInd w:val="0"/>
              <w:spacing w:line="560" w:lineRule="exact"/>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 xml:space="preserve">                      政府性基金预算财政拨款收入支出决算表</w:t>
            </w:r>
          </w:p>
          <w:tbl>
            <w:tblPr>
              <w:tblStyle w:val="4"/>
              <w:tblW w:w="15040" w:type="dxa"/>
              <w:tblInd w:w="0" w:type="dxa"/>
              <w:tblLayout w:type="autofit"/>
              <w:tblCellMar>
                <w:top w:w="0" w:type="dxa"/>
                <w:left w:w="108" w:type="dxa"/>
                <w:bottom w:w="0" w:type="dxa"/>
                <w:right w:w="108" w:type="dxa"/>
              </w:tblCellMar>
            </w:tblPr>
            <w:tblGrid>
              <w:gridCol w:w="329"/>
              <w:gridCol w:w="330"/>
              <w:gridCol w:w="330"/>
              <w:gridCol w:w="3627"/>
              <w:gridCol w:w="1557"/>
              <w:gridCol w:w="1557"/>
              <w:gridCol w:w="1557"/>
              <w:gridCol w:w="1557"/>
              <w:gridCol w:w="1557"/>
              <w:gridCol w:w="1557"/>
            </w:tblGrid>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394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公开08表</w:t>
                  </w:r>
                </w:p>
              </w:tc>
            </w:tr>
            <w:tr>
              <w:tblPrEx>
                <w:tblCellMar>
                  <w:top w:w="0" w:type="dxa"/>
                  <w:left w:w="108" w:type="dxa"/>
                  <w:bottom w:w="0" w:type="dxa"/>
                  <w:right w:w="108" w:type="dxa"/>
                </w:tblCellMar>
              </w:tblPrEx>
              <w:trPr>
                <w:trHeight w:val="255" w:hRule="atLeast"/>
              </w:trPr>
              <w:tc>
                <w:tcPr>
                  <w:tcW w:w="6640" w:type="dxa"/>
                  <w:gridSpan w:val="5"/>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部门：广西壮族自治区人力资源和社会保障厅机关服务中心</w:t>
                  </w: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96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功能分类科目编码</w:t>
                  </w:r>
                </w:p>
              </w:tc>
              <w:tc>
                <w:tcPr>
                  <w:tcW w:w="3940"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科目名称</w:t>
                  </w: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项目支出</w:t>
                  </w: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394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394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single" w:color="000000" w:sz="4" w:space="0"/>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栏次</w:t>
                  </w:r>
                </w:p>
              </w:tc>
              <w:tc>
                <w:tcPr>
                  <w:tcW w:w="168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w:t>
                  </w:r>
                </w:p>
              </w:tc>
              <w:tc>
                <w:tcPr>
                  <w:tcW w:w="168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w:t>
                  </w:r>
                </w:p>
              </w:tc>
              <w:tc>
                <w:tcPr>
                  <w:tcW w:w="168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w:t>
                  </w:r>
                </w:p>
              </w:tc>
              <w:tc>
                <w:tcPr>
                  <w:tcW w:w="168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4</w:t>
                  </w:r>
                </w:p>
              </w:tc>
              <w:tc>
                <w:tcPr>
                  <w:tcW w:w="168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5</w:t>
                  </w:r>
                </w:p>
              </w:tc>
              <w:tc>
                <w:tcPr>
                  <w:tcW w:w="168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6</w:t>
                  </w:r>
                </w:p>
              </w:tc>
            </w:tr>
            <w:tr>
              <w:tblPrEx>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合计</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5040" w:type="dxa"/>
                  <w:gridSpan w:val="10"/>
                  <w:tcBorders>
                    <w:top w:val="nil"/>
                    <w:left w:val="nil"/>
                    <w:bottom w:val="nil"/>
                    <w:right w:val="nil"/>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注：本表反映部门本年度政府性基金预算财政拨款收入、支出及结转和结余情况。</w:t>
                  </w:r>
                </w:p>
              </w:tc>
            </w:tr>
          </w:tbl>
          <w:p>
            <w:pPr>
              <w:autoSpaceDE w:val="0"/>
              <w:autoSpaceDN w:val="0"/>
              <w:adjustRightInd w:val="0"/>
              <w:spacing w:line="560" w:lineRule="exact"/>
              <w:jc w:val="left"/>
              <w:rPr>
                <w:rFonts w:cs="宋体" w:asciiTheme="minorEastAsia" w:hAnsiTheme="minorEastAsia" w:eastAsiaTheme="minorEastAsia"/>
                <w:color w:val="000000"/>
                <w:kern w:val="0"/>
                <w:sz w:val="32"/>
                <w:szCs w:val="32"/>
              </w:rPr>
            </w:pPr>
          </w:p>
          <w:p>
            <w:pPr>
              <w:autoSpaceDE w:val="0"/>
              <w:autoSpaceDN w:val="0"/>
              <w:adjustRightInd w:val="0"/>
              <w:spacing w:line="560" w:lineRule="exact"/>
              <w:jc w:val="left"/>
              <w:rPr>
                <w:rFonts w:cs="宋体" w:asciiTheme="minorEastAsia" w:hAnsiTheme="minorEastAsia" w:eastAsiaTheme="minorEastAsia"/>
                <w:color w:val="000000"/>
                <w:kern w:val="0"/>
                <w:sz w:val="32"/>
                <w:szCs w:val="32"/>
              </w:rPr>
            </w:pPr>
          </w:p>
          <w:p>
            <w:pPr>
              <w:autoSpaceDE w:val="0"/>
              <w:autoSpaceDN w:val="0"/>
              <w:adjustRightInd w:val="0"/>
              <w:spacing w:line="560" w:lineRule="exact"/>
              <w:jc w:val="left"/>
              <w:rPr>
                <w:rFonts w:cs="宋体" w:asciiTheme="minorEastAsia" w:hAnsiTheme="minorEastAsia" w:eastAsiaTheme="minorEastAsia"/>
                <w:color w:val="000000"/>
                <w:kern w:val="0"/>
                <w:sz w:val="32"/>
                <w:szCs w:val="32"/>
              </w:rPr>
            </w:pPr>
          </w:p>
          <w:p>
            <w:pPr>
              <w:autoSpaceDE w:val="0"/>
              <w:autoSpaceDN w:val="0"/>
              <w:adjustRightInd w:val="0"/>
              <w:spacing w:line="560" w:lineRule="exact"/>
              <w:jc w:val="left"/>
              <w:rPr>
                <w:rFonts w:cs="宋体" w:asciiTheme="minorEastAsia" w:hAnsiTheme="minorEastAsia" w:eastAsiaTheme="minorEastAsia"/>
                <w:b/>
                <w:color w:val="000000"/>
                <w:kern w:val="0"/>
                <w:sz w:val="32"/>
                <w:szCs w:val="32"/>
              </w:rPr>
            </w:pPr>
            <w:r>
              <w:rPr>
                <w:rFonts w:hint="eastAsia" w:cs="宋体" w:asciiTheme="minorEastAsia" w:hAnsiTheme="minorEastAsia" w:eastAsiaTheme="minorEastAsia"/>
                <w:b/>
                <w:color w:val="000000"/>
                <w:kern w:val="0"/>
                <w:sz w:val="32"/>
                <w:szCs w:val="32"/>
              </w:rPr>
              <w:t>表九：国有资本经营预算财政拨款收入支出决算表</w:t>
            </w:r>
          </w:p>
          <w:p>
            <w:pPr>
              <w:autoSpaceDE w:val="0"/>
              <w:autoSpaceDN w:val="0"/>
              <w:adjustRightInd w:val="0"/>
              <w:spacing w:line="560" w:lineRule="exact"/>
              <w:jc w:val="center"/>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国有资本经营预算财政拨款收入支出决算</w:t>
            </w:r>
          </w:p>
          <w:tbl>
            <w:tblPr>
              <w:tblStyle w:val="4"/>
              <w:tblW w:w="10000" w:type="dxa"/>
              <w:tblInd w:w="0" w:type="dxa"/>
              <w:tblLayout w:type="autofit"/>
              <w:tblCellMar>
                <w:top w:w="0" w:type="dxa"/>
                <w:left w:w="108" w:type="dxa"/>
                <w:bottom w:w="0" w:type="dxa"/>
                <w:right w:w="108" w:type="dxa"/>
              </w:tblCellMar>
            </w:tblPr>
            <w:tblGrid>
              <w:gridCol w:w="340"/>
              <w:gridCol w:w="340"/>
              <w:gridCol w:w="340"/>
              <w:gridCol w:w="3940"/>
              <w:gridCol w:w="1680"/>
              <w:gridCol w:w="1680"/>
              <w:gridCol w:w="1680"/>
            </w:tblGrid>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394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公开09表</w:t>
                  </w:r>
                </w:p>
              </w:tc>
            </w:tr>
            <w:tr>
              <w:tblPrEx>
                <w:tblCellMar>
                  <w:top w:w="0" w:type="dxa"/>
                  <w:left w:w="108" w:type="dxa"/>
                  <w:bottom w:w="0" w:type="dxa"/>
                  <w:right w:w="108" w:type="dxa"/>
                </w:tblCellMar>
              </w:tblPrEx>
              <w:trPr>
                <w:trHeight w:val="255" w:hRule="atLeast"/>
              </w:trPr>
              <w:tc>
                <w:tcPr>
                  <w:tcW w:w="6640" w:type="dxa"/>
                  <w:gridSpan w:val="5"/>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部门：广西壮族自治区人力资源和社会保障厅机关服务中心</w:t>
                  </w:r>
                </w:p>
              </w:tc>
              <w:tc>
                <w:tcPr>
                  <w:tcW w:w="1680" w:type="dxa"/>
                  <w:tcBorders>
                    <w:top w:val="nil"/>
                    <w:left w:val="nil"/>
                    <w:bottom w:val="nil"/>
                    <w:right w:val="nil"/>
                  </w:tcBorders>
                  <w:shd w:val="clear" w:color="auto" w:fill="auto"/>
                  <w:noWrap/>
                  <w:vAlign w:val="bottom"/>
                </w:tcPr>
                <w:p>
                  <w:pPr>
                    <w:widowControl/>
                    <w:jc w:val="left"/>
                    <w:rPr>
                      <w:rFonts w:cs="Arial" w:asciiTheme="minorEastAsia" w:hAnsiTheme="minorEastAsia" w:eastAsiaTheme="minorEastAsia"/>
                      <w:color w:val="000000"/>
                      <w:kern w:val="0"/>
                      <w:sz w:val="20"/>
                      <w:szCs w:val="20"/>
                    </w:rPr>
                  </w:pPr>
                </w:p>
              </w:tc>
              <w:tc>
                <w:tcPr>
                  <w:tcW w:w="1680" w:type="dxa"/>
                  <w:tcBorders>
                    <w:top w:val="nil"/>
                    <w:left w:val="nil"/>
                    <w:bottom w:val="nil"/>
                    <w:right w:val="nil"/>
                  </w:tcBorders>
                  <w:shd w:val="clear" w:color="auto" w:fill="auto"/>
                  <w:noWrap/>
                  <w:vAlign w:val="bottom"/>
                </w:tcPr>
                <w:p>
                  <w:pPr>
                    <w:widowControl/>
                    <w:jc w:val="right"/>
                    <w:rPr>
                      <w:rFonts w:cs="Arial" w:asciiTheme="minorEastAsia" w:hAnsiTheme="minorEastAsia" w:eastAsiaTheme="minorEastAsia"/>
                      <w:color w:val="000000"/>
                      <w:kern w:val="0"/>
                      <w:sz w:val="20"/>
                      <w:szCs w:val="20"/>
                    </w:rPr>
                  </w:pPr>
                  <w:r>
                    <w:rPr>
                      <w:rFonts w:hint="eastAsia" w:cs="Arial" w:asciiTheme="minorEastAsia" w:hAnsiTheme="minorEastAsia" w:eastAsiaTheme="minorEastAsia"/>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96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功能分类科目编码</w:t>
                  </w:r>
                </w:p>
              </w:tc>
              <w:tc>
                <w:tcPr>
                  <w:tcW w:w="3940"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394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394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c>
                <w:tcPr>
                  <w:tcW w:w="16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栏次</w:t>
                  </w:r>
                </w:p>
              </w:tc>
              <w:tc>
                <w:tcPr>
                  <w:tcW w:w="168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1</w:t>
                  </w:r>
                </w:p>
              </w:tc>
              <w:tc>
                <w:tcPr>
                  <w:tcW w:w="168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2</w:t>
                  </w:r>
                </w:p>
              </w:tc>
              <w:tc>
                <w:tcPr>
                  <w:tcW w:w="1680" w:type="dxa"/>
                  <w:tcBorders>
                    <w:top w:val="nil"/>
                    <w:left w:val="nil"/>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3</w:t>
                  </w:r>
                </w:p>
              </w:tc>
            </w:tr>
            <w:tr>
              <w:tblPrEx>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合计</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b/>
                      <w:bCs/>
                      <w:color w:val="000000"/>
                      <w:kern w:val="0"/>
                      <w:sz w:val="22"/>
                      <w:szCs w:val="22"/>
                    </w:rPr>
                  </w:pPr>
                  <w:r>
                    <w:rPr>
                      <w:rFonts w:hint="eastAsia" w:cs="Arial" w:asciiTheme="minorEastAsia" w:hAnsiTheme="minorEastAsia" w:eastAsiaTheme="minorEastAsia"/>
                      <w:b/>
                      <w:bCs/>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3940" w:type="dxa"/>
                  <w:tcBorders>
                    <w:top w:val="nil"/>
                    <w:left w:val="nil"/>
                    <w:bottom w:val="single" w:color="000000" w:sz="4" w:space="0"/>
                    <w:right w:val="single" w:color="000000" w:sz="4" w:space="0"/>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c>
                <w:tcPr>
                  <w:tcW w:w="1680" w:type="dxa"/>
                  <w:tcBorders>
                    <w:top w:val="nil"/>
                    <w:left w:val="nil"/>
                    <w:bottom w:val="single" w:color="000000" w:sz="4" w:space="0"/>
                    <w:right w:val="single" w:color="000000" w:sz="4" w:space="0"/>
                  </w:tcBorders>
                  <w:shd w:val="clear" w:color="auto" w:fill="auto"/>
                  <w:noWrap/>
                  <w:vAlign w:val="center"/>
                </w:tcPr>
                <w:p>
                  <w:pPr>
                    <w:widowControl/>
                    <w:jc w:val="righ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　</w:t>
                  </w:r>
                </w:p>
              </w:tc>
            </w:tr>
            <w:tr>
              <w:tblPrEx>
                <w:tblCellMar>
                  <w:top w:w="0" w:type="dxa"/>
                  <w:left w:w="108" w:type="dxa"/>
                  <w:bottom w:w="0" w:type="dxa"/>
                  <w:right w:w="108" w:type="dxa"/>
                </w:tblCellMar>
              </w:tblPrEx>
              <w:trPr>
                <w:trHeight w:val="308" w:hRule="atLeast"/>
              </w:trPr>
              <w:tc>
                <w:tcPr>
                  <w:tcW w:w="10000" w:type="dxa"/>
                  <w:gridSpan w:val="7"/>
                  <w:tcBorders>
                    <w:top w:val="nil"/>
                    <w:left w:val="nil"/>
                    <w:bottom w:val="nil"/>
                    <w:right w:val="nil"/>
                  </w:tcBorders>
                  <w:shd w:val="clear" w:color="auto" w:fill="auto"/>
                  <w:noWrap/>
                  <w:vAlign w:val="center"/>
                </w:tcPr>
                <w:p>
                  <w:pPr>
                    <w:widowControl/>
                    <w:jc w:val="left"/>
                    <w:rPr>
                      <w:rFonts w:cs="Arial" w:asciiTheme="minorEastAsia" w:hAnsiTheme="minorEastAsia" w:eastAsiaTheme="minorEastAsia"/>
                      <w:color w:val="000000"/>
                      <w:kern w:val="0"/>
                      <w:sz w:val="22"/>
                      <w:szCs w:val="22"/>
                    </w:rPr>
                  </w:pPr>
                  <w:r>
                    <w:rPr>
                      <w:rFonts w:hint="eastAsia" w:cs="Arial" w:asciiTheme="minorEastAsia" w:hAnsiTheme="minorEastAsia" w:eastAsiaTheme="minorEastAsia"/>
                      <w:color w:val="000000"/>
                      <w:kern w:val="0"/>
                      <w:sz w:val="22"/>
                      <w:szCs w:val="22"/>
                    </w:rPr>
                    <w:t>注：本表反映部门本年度国有资本经营预算财政拨款支出情况。</w:t>
                  </w:r>
                </w:p>
              </w:tc>
            </w:tr>
          </w:tbl>
          <w:p>
            <w:pPr>
              <w:autoSpaceDE w:val="0"/>
              <w:autoSpaceDN w:val="0"/>
              <w:adjustRightInd w:val="0"/>
              <w:spacing w:line="560" w:lineRule="exact"/>
              <w:jc w:val="left"/>
              <w:rPr>
                <w:rFonts w:cs="仿宋_GB2312" w:asciiTheme="minorEastAsia" w:hAnsiTheme="minorEastAsia" w:eastAsiaTheme="minorEastAsia"/>
                <w:kern w:val="0"/>
                <w:sz w:val="24"/>
              </w:rPr>
            </w:pPr>
            <w:r>
              <w:rPr>
                <w:rFonts w:hint="eastAsia" w:asciiTheme="minorEastAsia" w:hAnsiTheme="minorEastAsia" w:eastAsiaTheme="minorEastAsia"/>
                <w:bCs/>
                <w:color w:val="000000"/>
                <w:sz w:val="24"/>
              </w:rPr>
              <w:t>广西壮族自治区人力资源和社会保障厅机关服务中心</w:t>
            </w:r>
            <w:r>
              <w:rPr>
                <w:rFonts w:hint="eastAsia" w:asciiTheme="minorEastAsia" w:hAnsiTheme="minorEastAsia" w:eastAsiaTheme="minorEastAsia"/>
                <w:kern w:val="0"/>
                <w:sz w:val="24"/>
              </w:rPr>
              <w:t>2020</w:t>
            </w:r>
            <w:r>
              <w:rPr>
                <w:rFonts w:hint="eastAsia" w:cs="仿宋_GB2312" w:asciiTheme="minorEastAsia" w:hAnsiTheme="minorEastAsia" w:eastAsiaTheme="minorEastAsia"/>
                <w:kern w:val="0"/>
                <w:sz w:val="24"/>
              </w:rPr>
              <w:t>年度没有</w:t>
            </w:r>
            <w:r>
              <w:rPr>
                <w:rFonts w:hint="eastAsia" w:cs="宋体" w:asciiTheme="minorEastAsia" w:hAnsiTheme="minorEastAsia" w:eastAsiaTheme="minorEastAsia"/>
                <w:color w:val="000000"/>
                <w:kern w:val="0"/>
                <w:sz w:val="24"/>
              </w:rPr>
              <w:t>国有资本经营财政拨款</w:t>
            </w:r>
            <w:r>
              <w:rPr>
                <w:rFonts w:hint="eastAsia" w:cs="仿宋_GB2312" w:asciiTheme="minorEastAsia" w:hAnsiTheme="minorEastAsia" w:eastAsiaTheme="minorEastAsia"/>
                <w:kern w:val="0"/>
                <w:sz w:val="24"/>
              </w:rPr>
              <w:t>的支出，故本表无数据。</w:t>
            </w:r>
          </w:p>
          <w:p>
            <w:pPr>
              <w:autoSpaceDE w:val="0"/>
              <w:autoSpaceDN w:val="0"/>
              <w:adjustRightInd w:val="0"/>
              <w:spacing w:line="560" w:lineRule="exact"/>
              <w:ind w:firstLine="140" w:firstLineChars="44"/>
              <w:rPr>
                <w:rFonts w:cs="宋体" w:asciiTheme="minorEastAsia" w:hAnsiTheme="minorEastAsia" w:eastAsiaTheme="minorEastAsia"/>
                <w:color w:val="000000"/>
                <w:kern w:val="0"/>
                <w:sz w:val="32"/>
                <w:szCs w:val="32"/>
              </w:rPr>
            </w:pPr>
          </w:p>
          <w:p>
            <w:pPr>
              <w:autoSpaceDE w:val="0"/>
              <w:autoSpaceDN w:val="0"/>
              <w:adjustRightInd w:val="0"/>
              <w:spacing w:line="560" w:lineRule="exact"/>
              <w:jc w:val="left"/>
              <w:rPr>
                <w:rFonts w:cs="宋体" w:asciiTheme="minorEastAsia" w:hAnsiTheme="minorEastAsia" w:eastAsiaTheme="minorEastAsia"/>
                <w:color w:val="000000"/>
                <w:kern w:val="0"/>
                <w:sz w:val="32"/>
                <w:szCs w:val="32"/>
              </w:rPr>
            </w:pPr>
          </w:p>
          <w:p>
            <w:pPr>
              <w:autoSpaceDE w:val="0"/>
              <w:autoSpaceDN w:val="0"/>
              <w:adjustRightInd w:val="0"/>
              <w:spacing w:line="560" w:lineRule="exact"/>
              <w:jc w:val="left"/>
              <w:rPr>
                <w:rFonts w:cs="宋体" w:asciiTheme="minorEastAsia" w:hAnsiTheme="minorEastAsia" w:eastAsiaTheme="minorEastAsia"/>
                <w:color w:val="000000"/>
                <w:kern w:val="0"/>
                <w:sz w:val="32"/>
                <w:szCs w:val="32"/>
              </w:rPr>
            </w:pPr>
          </w:p>
          <w:p>
            <w:pPr>
              <w:widowControl/>
              <w:jc w:val="left"/>
              <w:rPr>
                <w:rFonts w:cs="Arial" w:asciiTheme="minorEastAsia" w:hAnsiTheme="minorEastAsia" w:eastAsiaTheme="minorEastAsia"/>
                <w:color w:val="000000"/>
                <w:kern w:val="0"/>
                <w:sz w:val="22"/>
                <w:szCs w:val="22"/>
              </w:rPr>
            </w:pPr>
          </w:p>
        </w:tc>
      </w:tr>
    </w:tbl>
    <w:p>
      <w:pPr>
        <w:spacing w:line="560" w:lineRule="exact"/>
        <w:jc w:val="cente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rPr>
        <w:t>广西壮族自治区人力资源和社会保障厅机关服务中心</w:t>
      </w:r>
      <w:r>
        <w:rPr>
          <w:rFonts w:hint="eastAsia" w:ascii="黑体" w:hAnsi="黑体" w:eastAsia="黑体"/>
          <w:sz w:val="32"/>
          <w:szCs w:val="32"/>
        </w:rPr>
        <w:t>2020年度部门决算情况说明</w:t>
      </w:r>
    </w:p>
    <w:p>
      <w:pPr>
        <w:spacing w:line="560" w:lineRule="exact"/>
        <w:jc w:val="center"/>
        <w:rPr>
          <w:rFonts w:asciiTheme="minorEastAsia" w:hAnsiTheme="minorEastAsia" w:eastAsiaTheme="minorEastAsia"/>
          <w:b/>
          <w:sz w:val="32"/>
          <w:szCs w:val="32"/>
        </w:rPr>
      </w:pPr>
    </w:p>
    <w:p>
      <w:pPr>
        <w:spacing w:line="560" w:lineRule="exact"/>
        <w:ind w:firstLine="642" w:firstLineChars="200"/>
        <w:rPr>
          <w:rFonts w:ascii="仿宋_GB2312" w:eastAsia="仿宋_GB2312" w:hAnsiTheme="minorEastAsia"/>
          <w:b/>
          <w:sz w:val="32"/>
          <w:szCs w:val="32"/>
        </w:rPr>
      </w:pPr>
      <w:r>
        <w:rPr>
          <w:rFonts w:hint="eastAsia" w:ascii="仿宋_GB2312" w:eastAsia="仿宋_GB2312" w:hAnsiTheme="minorEastAsia"/>
          <w:b/>
          <w:sz w:val="32"/>
          <w:szCs w:val="32"/>
        </w:rPr>
        <w:t>一、2020年度收入支出决算总体情况</w:t>
      </w:r>
    </w:p>
    <w:p>
      <w:pPr>
        <w:spacing w:line="56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 xml:space="preserve"> （一）收入总计537.02万元，其中本年收入530.49万元</w:t>
      </w:r>
    </w:p>
    <w:p>
      <w:pPr>
        <w:spacing w:line="560" w:lineRule="exact"/>
        <w:ind w:firstLine="800" w:firstLineChars="250"/>
        <w:rPr>
          <w:rFonts w:ascii="仿宋_GB2312" w:eastAsia="仿宋_GB2312" w:cs="仿宋_GB2312" w:hAnsiTheme="minorEastAsia"/>
          <w:sz w:val="32"/>
          <w:szCs w:val="32"/>
        </w:rPr>
      </w:pPr>
      <w:r>
        <w:rPr>
          <w:rFonts w:hint="eastAsia" w:ascii="仿宋_GB2312" w:eastAsia="仿宋_GB2312" w:hAnsiTheme="minorEastAsia"/>
          <w:sz w:val="32"/>
          <w:szCs w:val="32"/>
        </w:rPr>
        <w:t>1.财政拨款收入530.09万元，为当年自治区本级一般公共预算财政拨款资金。较2019年决算数增加4.89万元，增加0.93%。</w:t>
      </w:r>
      <w:r>
        <w:rPr>
          <w:rFonts w:hint="eastAsia" w:ascii="仿宋_GB2312" w:eastAsia="仿宋_GB2312" w:cs="仿宋_GB2312" w:hAnsiTheme="minorEastAsia"/>
          <w:kern w:val="0"/>
          <w:sz w:val="32"/>
          <w:szCs w:val="32"/>
        </w:rPr>
        <w:t>财政拨款收入增加的原因主要是：2020年在职在编职工工资福利方面支出有小幅度增加引起财政拨款收入增加。</w:t>
      </w:r>
      <w:r>
        <w:rPr>
          <w:rFonts w:hint="eastAsia" w:ascii="仿宋_GB2312" w:eastAsia="仿宋_GB2312" w:cs="仿宋_GB2312" w:hAnsiTheme="minorEastAsia"/>
          <w:sz w:val="32"/>
          <w:szCs w:val="32"/>
        </w:rPr>
        <w:t xml:space="preserve"> </w:t>
      </w:r>
    </w:p>
    <w:p>
      <w:pPr>
        <w:spacing w:line="560" w:lineRule="exact"/>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t>2.无上级补助收入。</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 3.无事业收入。</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 4.无经营收入。</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 5.其他收入0.40万元，为预算单位在“财政拨款收入”、“事业收入”“经营收入”外取得的收入，同比增加0.4万元。增加原因是基本户利息收入和代扣代缴个人所得税返还手续费收入。</w:t>
      </w:r>
    </w:p>
    <w:p>
      <w:pPr>
        <w:spacing w:line="560" w:lineRule="exact"/>
        <w:ind w:firstLine="640" w:firstLineChars="200"/>
        <w:rPr>
          <w:rFonts w:ascii="仿宋_GB2312" w:eastAsia="仿宋_GB2312" w:hAnsiTheme="minorEastAsia"/>
          <w:color w:val="FF0000"/>
          <w:sz w:val="32"/>
          <w:szCs w:val="32"/>
        </w:rPr>
      </w:pPr>
      <w:r>
        <w:rPr>
          <w:rFonts w:hint="eastAsia" w:ascii="仿宋_GB2312" w:eastAsia="仿宋_GB2312" w:hAnsiTheme="minorEastAsia"/>
          <w:sz w:val="32"/>
          <w:szCs w:val="32"/>
        </w:rPr>
        <w:t xml:space="preserve"> 6.年初结转和结余6.53万元。较2019年初结转和结余增加6.53万元，原因是2019年年底有财政应返还额度结转至2020年初。</w:t>
      </w:r>
    </w:p>
    <w:p>
      <w:pPr>
        <w:autoSpaceDE w:val="0"/>
        <w:autoSpaceDN w:val="0"/>
        <w:adjustRightInd w:val="0"/>
        <w:spacing w:line="560" w:lineRule="exact"/>
        <w:ind w:firstLine="627" w:firstLineChars="196"/>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（二）本部门2020年度总支出537.02万元，其中本年支出536.99万元, 较2019年度决算数增加52.17万元，</w:t>
      </w:r>
      <w:r>
        <w:rPr>
          <w:rFonts w:hint="eastAsia" w:ascii="仿宋_GB2312" w:eastAsia="仿宋_GB2312" w:hAnsiTheme="minorEastAsia"/>
          <w:sz w:val="32"/>
          <w:szCs w:val="32"/>
        </w:rPr>
        <w:t>增加10.76</w:t>
      </w:r>
      <w:r>
        <w:rPr>
          <w:rFonts w:hint="eastAsia" w:ascii="仿宋_GB2312" w:eastAsia="仿宋_GB2312" w:cs="仿宋_GB2312" w:hAnsiTheme="minorEastAsia"/>
          <w:kern w:val="0"/>
          <w:sz w:val="32"/>
          <w:szCs w:val="32"/>
        </w:rPr>
        <w:t>%。支出具体情况如下：</w:t>
      </w:r>
    </w:p>
    <w:p>
      <w:pPr>
        <w:autoSpaceDE w:val="0"/>
        <w:autoSpaceDN w:val="0"/>
        <w:adjustRightInd w:val="0"/>
        <w:spacing w:line="560" w:lineRule="exact"/>
        <w:ind w:firstLine="627" w:firstLineChars="196"/>
        <w:jc w:val="left"/>
        <w:rPr>
          <w:rFonts w:ascii="仿宋_GB2312" w:eastAsia="仿宋_GB2312" w:cs="仿宋_GB2312" w:hAnsiTheme="minorEastAsia"/>
          <w:kern w:val="0"/>
          <w:sz w:val="32"/>
          <w:szCs w:val="32"/>
        </w:rPr>
      </w:pPr>
      <w:r>
        <w:rPr>
          <w:rFonts w:hint="eastAsia" w:ascii="仿宋_GB2312" w:eastAsia="仿宋_GB2312" w:hAnsiTheme="minorEastAsia"/>
          <w:bCs/>
          <w:kern w:val="0"/>
          <w:sz w:val="32"/>
          <w:szCs w:val="32"/>
        </w:rPr>
        <w:t>1</w:t>
      </w:r>
      <w:r>
        <w:rPr>
          <w:rFonts w:hint="eastAsia" w:ascii="仿宋_GB2312" w:eastAsia="仿宋_GB2312" w:cs="仿宋_GB2312" w:hAnsiTheme="minorEastAsia"/>
          <w:kern w:val="0"/>
          <w:sz w:val="32"/>
          <w:szCs w:val="32"/>
        </w:rPr>
        <w:t>.一般公共服务支出104.13万元：主要用于</w:t>
      </w:r>
      <w:r>
        <w:rPr>
          <w:rFonts w:hint="eastAsia" w:ascii="仿宋_GB2312" w:eastAsia="仿宋_GB2312" w:hAnsiTheme="minorEastAsia"/>
          <w:sz w:val="32"/>
          <w:szCs w:val="32"/>
        </w:rPr>
        <w:t>一是广西壮族自治区人力资源和社会保障厅机关服务中心在职人员和聘用人员工资福利及单位日常运转支出。二是广西壮族自治区人力资源和社会保障厅机关服务中心为履行本单位职能开展的项目经费支出。</w:t>
      </w:r>
      <w:r>
        <w:rPr>
          <w:rFonts w:hint="eastAsia" w:ascii="仿宋_GB2312" w:eastAsia="仿宋_GB2312" w:cs="仿宋_GB2312" w:hAnsiTheme="minorEastAsia"/>
          <w:kern w:val="0"/>
          <w:sz w:val="32"/>
          <w:szCs w:val="32"/>
        </w:rPr>
        <w:t>较2019年度决算数增加57.90万元，增加125.24%，增加的原因：2021年在职在编人员绩效奖金提高，引起工资福利费用支出增加。</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2.社会保障和就业类支出384.88万元。主要用于以下支出：广西壮族自治区人力资源和社会保障厅机关服务中心在职人员机关事业养老保险缴费、职业年金缴费支出、退休人员离退休津补贴及公用经费支出。较2019年度决算数同比减少7.63万元，降低1.94%，原因是2019年在职人员社保基金清算补缴了部分清算差额款，2020年社会保障和就业类支出按正常缴费，因此2020年支出减少。</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3.卫生健康支出类17.68万元，较2019年度决算数同比增加0.7万元，增加4.12%，用于为本单位职工缴纳医疗保险。增加主要原因是2020年社保缴费基数增加引起医疗保险缴费增加。</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4.住房保障支出类30.30万元，较上年度决算增加1.2万元，增加4.12%，用于为本单位职工缴纳住房公积金。住房公积金缴费增加的原因是因为2020年住房公积金缴费基数提高引起。</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5.结余分配0元，2020年无结余分配。</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年末结转和结余0.04万元，比上年同期减少40.34万元，其中财政拨款结转和结余减少40.34万元，非财政补助结转结余无变化。财政拨款结转和结余减少的原因是2020年度期未广西壮族自治区财政厅收回了所有的用款指标结余，年未无财政应返还额度。</w:t>
      </w:r>
    </w:p>
    <w:p>
      <w:pPr>
        <w:spacing w:line="560" w:lineRule="exact"/>
        <w:ind w:firstLine="803" w:firstLineChars="250"/>
        <w:rPr>
          <w:rFonts w:ascii="仿宋_GB2312" w:eastAsia="仿宋_GB2312" w:hAnsiTheme="minorEastAsia"/>
          <w:b/>
          <w:sz w:val="32"/>
          <w:szCs w:val="32"/>
        </w:rPr>
      </w:pPr>
      <w:r>
        <w:rPr>
          <w:rFonts w:hint="eastAsia" w:ascii="仿宋_GB2312" w:eastAsia="仿宋_GB2312" w:hAnsiTheme="minorEastAsia"/>
          <w:b/>
          <w:sz w:val="32"/>
          <w:szCs w:val="32"/>
        </w:rPr>
        <w:t xml:space="preserve">二、2020年度一般公共预算财政拨款支出决算情况 </w:t>
      </w:r>
    </w:p>
    <w:p>
      <w:pPr>
        <w:spacing w:line="560" w:lineRule="exact"/>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t>广西壮族自治区人力资源和社会保障厅机关服务中心2020年度一般公共预算财政拨款支出536.62万元，其中基本支出433.84万元，项目支出102.79万元；较2019年决算增加51.80万元，增加10.68%，增加的原因是2020年在职人员工资福利支出增加引起财政拨款支出增加。</w:t>
      </w:r>
    </w:p>
    <w:p>
      <w:pPr>
        <w:autoSpaceDE w:val="0"/>
        <w:autoSpaceDN w:val="0"/>
        <w:adjustRightInd w:val="0"/>
        <w:spacing w:line="560" w:lineRule="exact"/>
        <w:ind w:firstLine="627" w:firstLineChars="196"/>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（一）一般公共服务支出103.76万元，较2019年度决算数增加57.53万元，增加124.44%，增加的原因：2020年在职在编人员绩效奖金提高，引起工资福利费用支出增加。</w:t>
      </w:r>
    </w:p>
    <w:p>
      <w:pPr>
        <w:spacing w:line="560" w:lineRule="exact"/>
        <w:ind w:firstLine="800" w:firstLineChars="250"/>
        <w:rPr>
          <w:rFonts w:ascii="仿宋_GB2312" w:eastAsia="仿宋_GB2312" w:cs="仿宋_GB2312" w:hAnsiTheme="minorEastAsia"/>
          <w:sz w:val="32"/>
          <w:szCs w:val="32"/>
        </w:rPr>
      </w:pPr>
      <w:r>
        <w:rPr>
          <w:rFonts w:hint="eastAsia" w:ascii="仿宋_GB2312" w:eastAsia="仿宋_GB2312" w:cs="仿宋_GB2312" w:hAnsiTheme="minorEastAsia"/>
          <w:kern w:val="0"/>
          <w:sz w:val="32"/>
          <w:szCs w:val="32"/>
        </w:rPr>
        <w:t>其中机关服务功能分类下98.50万元，较上年决算增加58.90万元，增加148.73%，增加的原因是在职在编员工绩效奖金提高引起；事业运行5.27万元，较上年决算减少1.36万元，减少20.51%，</w:t>
      </w:r>
      <w:r>
        <w:rPr>
          <w:rFonts w:hint="eastAsia" w:ascii="仿宋_GB2312" w:eastAsia="仿宋_GB2312" w:hAnsiTheme="minorEastAsia"/>
          <w:sz w:val="32"/>
          <w:szCs w:val="32"/>
        </w:rPr>
        <w:t>减少的原因是2020年度</w:t>
      </w:r>
      <w:r>
        <w:rPr>
          <w:rFonts w:hint="eastAsia" w:ascii="仿宋_GB2312" w:eastAsia="仿宋_GB2312" w:cs="仿宋_GB2312" w:hAnsiTheme="minorEastAsia"/>
          <w:sz w:val="32"/>
          <w:szCs w:val="32"/>
        </w:rPr>
        <w:t>落实政府过紧日子要求，我单位大力压减一般性支出</w:t>
      </w:r>
      <w:r>
        <w:rPr>
          <w:rFonts w:hint="eastAsia" w:ascii="仿宋_GB2312" w:eastAsia="仿宋_GB2312" w:cs="仿宋_GB2312" w:hAnsiTheme="minorEastAsia"/>
          <w:kern w:val="0"/>
          <w:sz w:val="32"/>
          <w:szCs w:val="32"/>
        </w:rPr>
        <w:t>，统一按10%的比例压减项目资金支出导致</w:t>
      </w:r>
      <w:r>
        <w:rPr>
          <w:rFonts w:hint="eastAsia" w:ascii="仿宋_GB2312" w:eastAsia="仿宋_GB2312" w:cs="仿宋_GB2312" w:hAnsiTheme="minorEastAsia"/>
          <w:sz w:val="32"/>
          <w:szCs w:val="32"/>
        </w:rPr>
        <w:t>。</w:t>
      </w:r>
    </w:p>
    <w:p>
      <w:pPr>
        <w:spacing w:line="560" w:lineRule="exact"/>
        <w:ind w:firstLine="636"/>
        <w:rPr>
          <w:rFonts w:ascii="仿宋_GB2312" w:eastAsia="仿宋_GB2312" w:hAnsiTheme="minorEastAsia"/>
          <w:sz w:val="32"/>
          <w:szCs w:val="32"/>
        </w:rPr>
      </w:pPr>
      <w:r>
        <w:rPr>
          <w:rFonts w:hint="eastAsia" w:ascii="仿宋_GB2312" w:eastAsia="仿宋_GB2312" w:hAnsiTheme="minorEastAsia"/>
          <w:sz w:val="32"/>
          <w:szCs w:val="32"/>
        </w:rPr>
        <w:t>（二）社会保障和就业支出384.88万元，较2019年度决算数同比减少7.63万元，降低1.94%，原因是2019年在职人员社保基金清算补缴了部分差额款，2020年没有此项开支，功能分类明细分析如下：</w:t>
      </w:r>
    </w:p>
    <w:p>
      <w:pPr>
        <w:spacing w:line="560" w:lineRule="exact"/>
        <w:ind w:firstLine="636"/>
        <w:rPr>
          <w:rFonts w:ascii="仿宋_GB2312" w:eastAsia="仿宋_GB2312" w:hAnsiTheme="minorEastAsia"/>
          <w:sz w:val="32"/>
          <w:szCs w:val="32"/>
        </w:rPr>
      </w:pPr>
      <w:r>
        <w:rPr>
          <w:rFonts w:hint="eastAsia" w:ascii="仿宋_GB2312" w:eastAsia="仿宋_GB2312" w:hAnsiTheme="minorEastAsia"/>
          <w:sz w:val="32"/>
          <w:szCs w:val="32"/>
        </w:rPr>
        <w:t>（1）在人力资源和社会保障管理事务分类下的机关服务功能分类315.73万元，较2019年增加7.61，增加2.47%，增加的原因是2020年在职人员</w:t>
      </w:r>
      <w:r>
        <w:rPr>
          <w:rFonts w:hint="eastAsia" w:ascii="仿宋_GB2312" w:eastAsia="仿宋_GB2312" w:cs="仿宋_GB2312" w:hAnsiTheme="minorEastAsia"/>
          <w:kern w:val="0"/>
          <w:sz w:val="32"/>
          <w:szCs w:val="32"/>
        </w:rPr>
        <w:t>绩效奖金提高。</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（2）行政事业单位养老支出2020年69.15万元，较2019年减少2.03万元，减少2.85%，减少的原因是因为2019年在职人员社保基金清算补缴了部分差额款，2020年没有此项开支。</w:t>
      </w:r>
    </w:p>
    <w:p>
      <w:pPr>
        <w:spacing w:line="560" w:lineRule="exact"/>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 1 \* GB3 </w:instrText>
      </w:r>
      <w:r>
        <w:rPr>
          <w:rFonts w:hint="eastAsia" w:ascii="仿宋_GB2312" w:eastAsia="仿宋_GB2312" w:hAnsiTheme="minorEastAsia"/>
          <w:sz w:val="32"/>
          <w:szCs w:val="32"/>
        </w:rPr>
        <w:fldChar w:fldCharType="separate"/>
      </w:r>
      <w:r>
        <w:rPr>
          <w:rFonts w:hint="eastAsia" w:ascii="仿宋_GB2312" w:eastAsia="仿宋_GB2312" w:hAnsiTheme="minorEastAsia"/>
          <w:sz w:val="32"/>
          <w:szCs w:val="32"/>
        </w:rPr>
        <w:t>①</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t>事业单位离退休支出8.55万元，为退休人员各项津补贴和公用经费开支，较2019年度决算数同比减少1.21万元，降低12.39%，减少的原因是2020年退休人员公用经费支出相对减少。</w:t>
      </w:r>
    </w:p>
    <w:p>
      <w:pPr>
        <w:spacing w:line="560" w:lineRule="exact"/>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 2 \* GB3 </w:instrText>
      </w:r>
      <w:r>
        <w:rPr>
          <w:rFonts w:hint="eastAsia" w:ascii="仿宋_GB2312" w:eastAsia="仿宋_GB2312" w:hAnsiTheme="minorEastAsia"/>
          <w:sz w:val="32"/>
          <w:szCs w:val="32"/>
        </w:rPr>
        <w:fldChar w:fldCharType="separate"/>
      </w:r>
      <w:r>
        <w:rPr>
          <w:rFonts w:hint="eastAsia" w:ascii="仿宋_GB2312" w:eastAsia="仿宋_GB2312" w:hAnsiTheme="minorEastAsia"/>
          <w:sz w:val="32"/>
          <w:szCs w:val="32"/>
        </w:rPr>
        <w:t>②</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t>机关事业单位基本养老保险缴费支出40.40万元，比2019年减少1.63万元，减少3.88%，原因是2019年在职人员社保基金清算补缴了部分差额款，2020年没有此项开支。</w:t>
      </w:r>
    </w:p>
    <w:p>
      <w:pPr>
        <w:spacing w:line="560" w:lineRule="exact"/>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fldChar w:fldCharType="begin"/>
      </w:r>
      <w:r>
        <w:rPr>
          <w:rFonts w:hint="eastAsia" w:ascii="仿宋_GB2312" w:eastAsia="仿宋_GB2312" w:hAnsiTheme="minorEastAsia"/>
          <w:sz w:val="32"/>
          <w:szCs w:val="32"/>
        </w:rPr>
        <w:instrText xml:space="preserve"> = 3 \* GB3 </w:instrText>
      </w:r>
      <w:r>
        <w:rPr>
          <w:rFonts w:hint="eastAsia" w:ascii="仿宋_GB2312" w:eastAsia="仿宋_GB2312" w:hAnsiTheme="minorEastAsia"/>
          <w:sz w:val="32"/>
          <w:szCs w:val="32"/>
        </w:rPr>
        <w:fldChar w:fldCharType="separate"/>
      </w:r>
      <w:r>
        <w:rPr>
          <w:rFonts w:hint="eastAsia" w:ascii="仿宋_GB2312" w:eastAsia="仿宋_GB2312" w:hAnsiTheme="minorEastAsia"/>
          <w:sz w:val="32"/>
          <w:szCs w:val="32"/>
        </w:rPr>
        <w:t>③</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t>机关事业单位职业年金缴费支出20.20万元，比去年增加0.80万元，增加4.12%，差异是因为2020年职业年金缴费基数提高引起。</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（三）卫生健康支出类17.68万元，较2019年度决算数同比增加0.70万元，增加4.12%，用于为本单位职工缴纳医疗保险。增加主要原因是2020年社保缴费基数提高引起缴费支出增加。</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（四）住房保障支出类30.30万元，较上年度决算增加1.20万元，增加4.12%，用于为本单位职工缴纳住房公积金，住房公积金缴费增加的原因是因为2020年缴费基数增加引起。</w:t>
      </w:r>
    </w:p>
    <w:p>
      <w:pPr>
        <w:spacing w:line="560" w:lineRule="exact"/>
        <w:ind w:firstLine="642" w:firstLineChars="200"/>
        <w:rPr>
          <w:rFonts w:ascii="仿宋_GB2312" w:eastAsia="仿宋_GB2312" w:hAnsiTheme="minorEastAsia"/>
          <w:b/>
          <w:sz w:val="32"/>
          <w:szCs w:val="32"/>
        </w:rPr>
      </w:pPr>
      <w:r>
        <w:rPr>
          <w:rFonts w:hint="eastAsia" w:ascii="仿宋_GB2312" w:eastAsia="仿宋_GB2312" w:hAnsiTheme="minorEastAsia"/>
          <w:b/>
          <w:sz w:val="32"/>
          <w:szCs w:val="32"/>
        </w:rPr>
        <w:t>三、2020年度一般公共预算财政拨款基本支出决算情况</w:t>
      </w: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 xml:space="preserve">    2020年度一般公共预算财政拨款基本支出433.84万元，较2019年411.44万元增加22.40万元，增加5.44%，其中人员经费394.38万元，主要包括：基本工资、津贴补贴、奖金、社会保障缴费、住房公积金、退休费以及其他对个人和家庭的补助；公用经费39.46万元，主要包括：办公费、印刷费、手续费、水电费、邮电费、差旅费、维修（护）费、会议费、培训费、劳务费、工会经费、福利费、其他交通费以及其他商品和服务支出。2020年基本支出—工资及福利支出375.13万元，比上年度增加22.71万元，增加6.44%。增加的原因为：2020年在职人员奖励性绩效工资提高引起工资福利支出增加。2020年基本支出—商品和服务支出39.46万元，较上年度减少5.85万元，减少12.91%，主要是办公费、手续费、工会经费、福利费公务用车运行维护费。2020年基本支出—对个人和家庭的补助支出19.24万元，比上年度减少2.5万元，减少18.25%，主要是其他对个人和家庭的补助支出减少导致。</w:t>
      </w:r>
    </w:p>
    <w:p>
      <w:pPr>
        <w:spacing w:line="560" w:lineRule="exact"/>
        <w:ind w:firstLine="642" w:firstLineChars="200"/>
        <w:rPr>
          <w:rFonts w:ascii="仿宋_GB2312" w:eastAsia="仿宋_GB2312" w:hAnsiTheme="minorEastAsia"/>
          <w:b/>
          <w:sz w:val="32"/>
          <w:szCs w:val="32"/>
        </w:rPr>
      </w:pPr>
      <w:r>
        <w:rPr>
          <w:rFonts w:hint="eastAsia" w:ascii="仿宋_GB2312" w:eastAsia="仿宋_GB2312" w:hAnsiTheme="minorEastAsia"/>
          <w:b/>
          <w:sz w:val="32"/>
          <w:szCs w:val="32"/>
        </w:rPr>
        <w:t>四、2020年度政府性基金支出决算情况</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广西壮族自治区人力资源和社会保障厅机关服务中心2020年度政府性基金支出0万元，其中基本支出0万元，项目支出0万元。</w:t>
      </w:r>
    </w:p>
    <w:p>
      <w:pPr>
        <w:spacing w:line="560" w:lineRule="exact"/>
        <w:ind w:firstLine="642" w:firstLineChars="200"/>
        <w:rPr>
          <w:rFonts w:ascii="仿宋_GB2312" w:eastAsia="仿宋_GB2312" w:hAnsiTheme="minorEastAsia"/>
          <w:b/>
          <w:sz w:val="32"/>
          <w:szCs w:val="32"/>
        </w:rPr>
      </w:pPr>
      <w:r>
        <w:rPr>
          <w:rFonts w:hint="eastAsia" w:ascii="仿宋_GB2312" w:eastAsia="仿宋_GB2312" w:hAnsiTheme="minorEastAsia"/>
          <w:b/>
          <w:sz w:val="32"/>
          <w:szCs w:val="32"/>
        </w:rPr>
        <w:t>五、2020年度国有资本经营预算财政拨款支出决算情况</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广西壮族自治区人力资源和社会保障厅机关服务中心2020年度国有资本经营预算支出0万元，其中基本支出0万元，项目支出0万元。</w:t>
      </w:r>
    </w:p>
    <w:p>
      <w:pPr>
        <w:spacing w:line="560" w:lineRule="exact"/>
        <w:ind w:firstLine="642" w:firstLineChars="200"/>
        <w:rPr>
          <w:rFonts w:ascii="仿宋_GB2312" w:eastAsia="仿宋_GB2312" w:hAnsiTheme="minorEastAsia"/>
          <w:sz w:val="32"/>
          <w:szCs w:val="32"/>
        </w:rPr>
      </w:pPr>
      <w:r>
        <w:rPr>
          <w:rFonts w:hint="eastAsia" w:ascii="仿宋_GB2312" w:eastAsia="仿宋_GB2312" w:hAnsiTheme="minorEastAsia"/>
          <w:b/>
          <w:sz w:val="32"/>
          <w:szCs w:val="32"/>
        </w:rPr>
        <w:t>六、一般公共预算财政拨款“三公”经费支出决算情况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hAnsiTheme="minorEastAsia"/>
          <w:sz w:val="32"/>
          <w:szCs w:val="32"/>
        </w:rPr>
        <w:t>2020年度一般公共预算财政拨款安排的“三公”经费支出决算中，2020年公共财政资金安排的“三公经费”支出0元，比去年0.79万元减少0.79万元，减少100%，为公务用车运行维护费减少导致；“三公”经费年初部门预算0.20万元，</w:t>
      </w:r>
      <w:r>
        <w:rPr>
          <w:rFonts w:hint="eastAsia" w:ascii="仿宋_GB2312" w:hAnsi="黑体" w:eastAsia="仿宋_GB2312"/>
          <w:sz w:val="32"/>
          <w:szCs w:val="32"/>
        </w:rPr>
        <w:t>预决算执行率为零，</w:t>
      </w:r>
      <w:r>
        <w:rPr>
          <w:rFonts w:hint="eastAsia" w:ascii="仿宋_GB2312" w:eastAsia="仿宋_GB2312" w:cs="仿宋_GB2312"/>
          <w:kern w:val="0"/>
          <w:sz w:val="32"/>
          <w:szCs w:val="32"/>
        </w:rPr>
        <w:t>具体原因如下：</w:t>
      </w:r>
    </w:p>
    <w:p>
      <w:pPr>
        <w:autoSpaceDE w:val="0"/>
        <w:autoSpaceDN w:val="0"/>
        <w:adjustRightInd w:val="0"/>
        <w:spacing w:line="560" w:lineRule="exact"/>
        <w:ind w:firstLine="640" w:firstLineChars="200"/>
        <w:jc w:val="left"/>
        <w:rPr>
          <w:rFonts w:ascii="仿宋_GB2312" w:eastAsia="仿宋_GB2312"/>
          <w:bCs/>
          <w:color w:val="000000"/>
          <w:sz w:val="32"/>
          <w:szCs w:val="32"/>
        </w:rPr>
      </w:pPr>
      <w:r>
        <w:rPr>
          <w:rFonts w:hint="eastAsia" w:ascii="仿宋_GB2312" w:eastAsia="仿宋_GB2312" w:cs="仿宋_GB2312"/>
          <w:kern w:val="0"/>
          <w:sz w:val="32"/>
          <w:szCs w:val="32"/>
        </w:rPr>
        <w:t>（一）</w:t>
      </w:r>
      <w:r>
        <w:rPr>
          <w:rFonts w:hint="eastAsia" w:ascii="仿宋_GB2312" w:eastAsia="仿宋_GB2312" w:cs="仿宋_GB2312"/>
          <w:sz w:val="32"/>
          <w:szCs w:val="32"/>
        </w:rPr>
        <w:t>2020年</w:t>
      </w:r>
      <w:r>
        <w:rPr>
          <w:rFonts w:hint="eastAsia" w:ascii="仿宋_GB2312" w:eastAsia="仿宋_GB2312" w:cs="仿宋_GB2312"/>
          <w:kern w:val="0"/>
          <w:sz w:val="32"/>
          <w:szCs w:val="32"/>
        </w:rPr>
        <w:t>因公出国（境）费支出0万元，2020年</w:t>
      </w:r>
      <w:r>
        <w:rPr>
          <w:rFonts w:hint="eastAsia" w:ascii="仿宋_GB2312" w:eastAsia="仿宋_GB2312" w:cs="仿宋_GB2312"/>
          <w:sz w:val="32"/>
          <w:szCs w:val="32"/>
        </w:rPr>
        <w:t>因公出国（境）团组数为0组，出国（境）人数为0人</w:t>
      </w:r>
      <w:r>
        <w:rPr>
          <w:rFonts w:hint="eastAsia" w:ascii="仿宋_GB2312" w:eastAsia="仿宋_GB2312" w:cs="仿宋_GB2312"/>
          <w:kern w:val="0"/>
          <w:sz w:val="32"/>
          <w:szCs w:val="32"/>
        </w:rPr>
        <w:t>，</w:t>
      </w:r>
      <w:r>
        <w:rPr>
          <w:rFonts w:hint="eastAsia" w:ascii="仿宋_GB2312" w:eastAsia="仿宋_GB2312" w:cs="仿宋_GB2312"/>
          <w:sz w:val="32"/>
          <w:szCs w:val="32"/>
        </w:rPr>
        <w:t>与2019年度相比较上下年无变化，主要原因：我单位没有因公出国（境）业务项目开展及年初无</w:t>
      </w:r>
      <w:r>
        <w:rPr>
          <w:rFonts w:hint="eastAsia" w:ascii="仿宋_GB2312" w:eastAsia="仿宋_GB2312" w:cs="仿宋_GB2312"/>
          <w:kern w:val="0"/>
          <w:sz w:val="32"/>
          <w:szCs w:val="32"/>
        </w:rPr>
        <w:t>因公出国（境）费支出</w:t>
      </w:r>
      <w:r>
        <w:rPr>
          <w:rFonts w:hint="eastAsia" w:ascii="仿宋_GB2312" w:eastAsia="仿宋_GB2312" w:cs="仿宋_GB2312"/>
          <w:sz w:val="32"/>
          <w:szCs w:val="32"/>
        </w:rPr>
        <w:t>预算</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ascii="仿宋_GB2312" w:eastAsia="仿宋_GB2312"/>
          <w:bCs/>
          <w:color w:val="000000"/>
          <w:sz w:val="32"/>
          <w:szCs w:val="32"/>
        </w:rPr>
      </w:pPr>
      <w:r>
        <w:rPr>
          <w:rFonts w:hint="eastAsia" w:ascii="仿宋_GB2312" w:eastAsia="仿宋_GB2312" w:cs="仿宋_GB2312"/>
          <w:kern w:val="0"/>
          <w:sz w:val="32"/>
          <w:szCs w:val="32"/>
        </w:rPr>
        <w:t>（二）公务用车购置及运行费支出0万元。其中：公务用车购置支出0万元，</w:t>
      </w:r>
      <w:r>
        <w:rPr>
          <w:rFonts w:hint="eastAsia" w:ascii="仿宋_GB2312" w:eastAsia="仿宋_GB2312"/>
          <w:bCs/>
          <w:color w:val="000000"/>
          <w:sz w:val="32"/>
          <w:szCs w:val="32"/>
        </w:rPr>
        <w:t>公务用车保有量为0辆，全年公务用车运行费支出为0万元，年初无公务用车经费预算拨款，无预算执行率可比较。原因：因为公务用车改革后我单位不再持有公务用车，年度内也没有安排公务用车经费预算拨款。</w:t>
      </w:r>
    </w:p>
    <w:p>
      <w:pPr>
        <w:ind w:firstLine="800" w:firstLineChars="250"/>
        <w:jc w:val="left"/>
        <w:rPr>
          <w:rFonts w:ascii="仿宋_GB2312" w:hAnsi="黑体" w:eastAsia="仿宋_GB2312"/>
          <w:sz w:val="32"/>
          <w:szCs w:val="32"/>
        </w:rPr>
      </w:pPr>
      <w:r>
        <w:rPr>
          <w:rFonts w:hint="eastAsia" w:ascii="仿宋_GB2312" w:eastAsia="仿宋_GB2312" w:cs="仿宋_GB2312"/>
          <w:kern w:val="0"/>
          <w:sz w:val="32"/>
          <w:szCs w:val="32"/>
        </w:rPr>
        <w:t>（三）2020年全年公务接待费支出为0万元，国内公务接待批次为0次，国内公务接待人数为0人次。</w:t>
      </w:r>
    </w:p>
    <w:p>
      <w:pPr>
        <w:spacing w:line="560" w:lineRule="exact"/>
        <w:ind w:firstLine="642" w:firstLineChars="200"/>
        <w:rPr>
          <w:rFonts w:ascii="仿宋_GB2312" w:eastAsia="仿宋_GB2312" w:hAnsiTheme="minorEastAsia"/>
          <w:b/>
          <w:sz w:val="32"/>
          <w:szCs w:val="32"/>
        </w:rPr>
      </w:pPr>
      <w:r>
        <w:rPr>
          <w:rFonts w:hint="eastAsia" w:ascii="仿宋_GB2312" w:eastAsia="仿宋_GB2312" w:hAnsiTheme="minorEastAsia"/>
          <w:b/>
          <w:sz w:val="32"/>
          <w:szCs w:val="32"/>
        </w:rPr>
        <w:t>七、其他重要事项情况说明</w:t>
      </w:r>
    </w:p>
    <w:p>
      <w:pPr>
        <w:autoSpaceDE w:val="0"/>
        <w:autoSpaceDN w:val="0"/>
        <w:adjustRightInd w:val="0"/>
        <w:spacing w:line="560" w:lineRule="exact"/>
        <w:ind w:firstLine="642"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(一)</w:t>
      </w:r>
      <w:r>
        <w:rPr>
          <w:rFonts w:hint="eastAsia" w:ascii="仿宋_GB2312" w:eastAsia="仿宋_GB2312"/>
          <w:b/>
        </w:rPr>
        <w:t xml:space="preserve"> </w:t>
      </w:r>
      <w:r>
        <w:rPr>
          <w:rFonts w:hint="eastAsia" w:ascii="仿宋_GB2312" w:eastAsia="仿宋_GB2312" w:cs="仿宋_GB2312"/>
          <w:b/>
          <w:kern w:val="0"/>
          <w:sz w:val="32"/>
          <w:szCs w:val="32"/>
        </w:rPr>
        <w:t>机关运行经费支出情况说明</w:t>
      </w:r>
    </w:p>
    <w:p>
      <w:pPr>
        <w:autoSpaceDE w:val="0"/>
        <w:autoSpaceDN w:val="0"/>
        <w:adjustRightInd w:val="0"/>
        <w:spacing w:line="560" w:lineRule="exact"/>
        <w:ind w:firstLine="640" w:firstLineChars="200"/>
        <w:jc w:val="left"/>
        <w:rPr>
          <w:rFonts w:ascii="仿宋_GB2312" w:hAnsi="黑体" w:eastAsia="仿宋_GB2312"/>
          <w:sz w:val="32"/>
          <w:szCs w:val="32"/>
        </w:rPr>
      </w:pPr>
      <w:r>
        <w:rPr>
          <w:rFonts w:hint="eastAsia" w:ascii="仿宋_GB2312" w:eastAsia="仿宋_GB2312" w:cs="仿宋_GB2312"/>
          <w:kern w:val="0"/>
          <w:sz w:val="32"/>
          <w:szCs w:val="32"/>
        </w:rPr>
        <w:t>2020年我单位机关运行经费支出为0万元，与2019年度相比较无变化。主要原因是：我单位是公益一类事业单位，没有机关运行经费发生。</w:t>
      </w:r>
    </w:p>
    <w:p>
      <w:pPr>
        <w:ind w:firstLine="480" w:firstLineChars="150"/>
        <w:jc w:val="left"/>
        <w:rPr>
          <w:rFonts w:ascii="仿宋_GB2312" w:hAnsi="黑体" w:eastAsia="仿宋_GB2312"/>
          <w:sz w:val="32"/>
          <w:szCs w:val="32"/>
        </w:rPr>
      </w:pPr>
      <w:r>
        <w:rPr>
          <w:rFonts w:hint="eastAsia" w:ascii="仿宋_GB2312" w:hAnsi="黑体" w:eastAsia="仿宋_GB2312"/>
          <w:sz w:val="32"/>
          <w:szCs w:val="32"/>
        </w:rPr>
        <w:t xml:space="preserve">（二）政府采购支出情况说明 </w:t>
      </w:r>
    </w:p>
    <w:p>
      <w:pPr>
        <w:spacing w:line="560" w:lineRule="exact"/>
        <w:ind w:firstLine="640" w:firstLineChars="200"/>
        <w:rPr>
          <w:rFonts w:ascii="仿宋_GB2312" w:eastAsia="仿宋_GB2312" w:hAnsiTheme="minorEastAsia"/>
          <w:sz w:val="32"/>
          <w:szCs w:val="32"/>
        </w:rPr>
      </w:pPr>
      <w:r>
        <w:rPr>
          <w:rFonts w:hint="eastAsia" w:ascii="仿宋_GB2312" w:eastAsia="仿宋_GB2312" w:cs="仿宋_GB2312" w:hAnsiTheme="minorEastAsia"/>
          <w:kern w:val="0"/>
          <w:sz w:val="32"/>
          <w:szCs w:val="32"/>
        </w:rPr>
        <w:t>2020年我单位政府采购支出总额0元，2019年也没有发生政府采购支出，上下年比较后无变化。</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（三）国有资产占用情况说明</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1.截至2020年12月31日，我单位资产总额0.12万元,</w:t>
      </w:r>
      <w:r>
        <w:rPr>
          <w:rFonts w:hint="eastAsia" w:ascii="仿宋_GB2312" w:eastAsia="仿宋_GB2312" w:cs="楷体" w:hAnsiTheme="minorEastAsia"/>
          <w:sz w:val="32"/>
          <w:szCs w:val="32"/>
        </w:rPr>
        <w:t xml:space="preserve"> </w:t>
      </w:r>
      <w:r>
        <w:rPr>
          <w:rFonts w:hint="eastAsia" w:ascii="仿宋_GB2312" w:eastAsia="仿宋_GB2312" w:cs="仿宋_GB2312" w:hAnsiTheme="minorEastAsia"/>
          <w:kern w:val="0"/>
          <w:sz w:val="32"/>
          <w:szCs w:val="32"/>
        </w:rPr>
        <w:t>主要由以下几部分构成：流动资产0.12万元，主要为银行存款，占资产总额100%；较2019年减少40.33万元，减少99.70%，主要是因为2020年本单位年末列支结转下年的基本支出和项目支出指标减少，年末财政应返还额度相应减少到零，导致资产总额大幅减少。经认真统计、对比，我单位填报的2020年度部门决算报表数据与资产情况报表数据相符，资产状况良好。</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2.我单位无车辆。</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3.我单位无土地产权和办公用房。</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（四）重点项目预算绩效管理工作开展情况</w:t>
      </w:r>
    </w:p>
    <w:p>
      <w:pPr>
        <w:autoSpaceDE w:val="0"/>
        <w:autoSpaceDN w:val="0"/>
        <w:adjustRightInd w:val="0"/>
        <w:spacing w:line="560" w:lineRule="exact"/>
        <w:ind w:firstLine="640" w:firstLineChars="200"/>
        <w:jc w:val="left"/>
        <w:rPr>
          <w:rFonts w:ascii="仿宋_GB2312" w:eastAsia="仿宋_GB2312" w:cs="仿宋_GB2312"/>
          <w:bCs/>
          <w:sz w:val="32"/>
          <w:szCs w:val="32"/>
        </w:rPr>
      </w:pPr>
      <w:r>
        <w:rPr>
          <w:rFonts w:hint="eastAsia" w:ascii="仿宋_GB2312" w:eastAsia="仿宋_GB2312" w:cs="仿宋_GB2312"/>
          <w:bCs/>
          <w:sz w:val="32"/>
          <w:szCs w:val="32"/>
        </w:rPr>
        <w:t>由于我单位2020年度没有重要项目开展，因此2020年我单位没有</w:t>
      </w:r>
      <w:r>
        <w:rPr>
          <w:rFonts w:hint="eastAsia" w:ascii="仿宋_GB2312" w:eastAsia="仿宋_GB2312" w:cs="仿宋_GB2312"/>
          <w:b/>
          <w:kern w:val="0"/>
          <w:sz w:val="32"/>
          <w:szCs w:val="32"/>
        </w:rPr>
        <w:t>重点项目预算绩效管理</w:t>
      </w:r>
      <w:r>
        <w:rPr>
          <w:rFonts w:hint="eastAsia" w:ascii="仿宋_GB2312" w:eastAsia="仿宋_GB2312" w:cs="仿宋_GB2312"/>
          <w:bCs/>
          <w:sz w:val="32"/>
          <w:szCs w:val="32"/>
        </w:rPr>
        <w:t>绩效自评和再评价公开情况。</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p>
    <w:p>
      <w:pPr>
        <w:autoSpaceDE w:val="0"/>
        <w:autoSpaceDN w:val="0"/>
        <w:adjustRightInd w:val="0"/>
        <w:spacing w:line="560" w:lineRule="exact"/>
        <w:ind w:firstLine="640" w:firstLineChars="200"/>
        <w:jc w:val="center"/>
        <w:rPr>
          <w:rFonts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autoSpaceDE w:val="0"/>
        <w:autoSpaceDN w:val="0"/>
        <w:adjustRightInd w:val="0"/>
        <w:spacing w:line="560" w:lineRule="exact"/>
        <w:ind w:firstLine="640" w:firstLineChars="200"/>
        <w:jc w:val="center"/>
        <w:rPr>
          <w:rFonts w:ascii="黑体" w:hAnsi="黑体" w:eastAsia="黑体" w:cs="仿宋_GB2312"/>
          <w:kern w:val="0"/>
          <w:sz w:val="32"/>
          <w:szCs w:val="32"/>
        </w:rPr>
      </w:pP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 xml:space="preserve">一、财政拨款收入：指自治区财政部门当年拨付的资金。 </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二、事业收入：指事业单位开展专业业务活动及辅助活动所取得的收入。</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三、经营收入：指事业单位在专业业务活动及其辅助活动之外开展非独立核算经营活动取得的收入。</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四、其他收入：指除上述“财政拨款收入”、“事业收入”、“经营收入”等以外的收入。</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 xml:space="preserve">六、年初结转和结余：指以前年度尚未完成、结转到本年 按有关规定继续使用的资金。 </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 xml:space="preserve">七、结余分配：指事业单位按规定提取的职工福利基金、事业基金和缴纳的所得税，以及建设单位按规定应交回的基本建设竣工项目结余资金。 </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 xml:space="preserve">八、年末结转和结余：指本年度或以前年度预算安排、因客观条件发生变化无法按原计划实施，需要延迟到以后年度按有关规定继续使用的资金。 </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 xml:space="preserve">九、基本支出：指为保障机构正常运转、完成日常工作任务而发生的人员支出和公用支出。 </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 xml:space="preserve">十、项目支出：指在基本支出之外为完成特定行政任务和事业发展目标所发生的支出。 </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十一、经营支出：指事业单位在专业业务活动及其辅助活动之外开展非独立核算经营活动发生的支出。</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autoSpaceDE w:val="0"/>
        <w:autoSpaceDN w:val="0"/>
        <w:adjustRightInd w:val="0"/>
        <w:spacing w:line="560" w:lineRule="exact"/>
        <w:ind w:firstLine="640" w:firstLineChars="200"/>
        <w:jc w:val="left"/>
        <w:rPr>
          <w:rFonts w:ascii="仿宋_GB2312" w:eastAsia="仿宋_GB2312" w:cs="仿宋_GB2312" w:hAnsiTheme="minorEastAsia"/>
          <w:kern w:val="0"/>
          <w:sz w:val="32"/>
          <w:szCs w:val="32"/>
        </w:rPr>
      </w:pPr>
      <w:r>
        <w:rPr>
          <w:rFonts w:hint="eastAsia" w:ascii="仿宋_GB2312" w:eastAsia="仿宋_GB2312" w:cs="仿宋_GB2312" w:hAnsiTheme="minorEastAsia"/>
          <w:kern w:val="0"/>
          <w:sz w:val="32"/>
          <w:szCs w:val="32"/>
        </w:rPr>
        <w:t>十三、事业运行经费：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560" w:lineRule="exact"/>
        <w:ind w:firstLine="140" w:firstLineChars="44"/>
        <w:rPr>
          <w:rFonts w:ascii="仿宋_GB2312" w:eastAsia="仿宋_GB2312" w:cs="宋体" w:hAnsiTheme="minorEastAsia"/>
          <w:color w:val="000000"/>
          <w:kern w:val="0"/>
          <w:sz w:val="32"/>
          <w:szCs w:val="32"/>
        </w:rPr>
      </w:pPr>
    </w:p>
    <w:p>
      <w:pPr>
        <w:spacing w:line="560" w:lineRule="exact"/>
        <w:jc w:val="left"/>
        <w:rPr>
          <w:rFonts w:ascii="仿宋_GB2312" w:eastAsia="仿宋_GB2312" w:cs="宋体" w:hAnsiTheme="minorEastAsia"/>
          <w:color w:val="000000"/>
          <w:kern w:val="0"/>
          <w:sz w:val="32"/>
          <w:szCs w:val="32"/>
        </w:rPr>
      </w:pPr>
    </w:p>
    <w:p>
      <w:pPr>
        <w:spacing w:line="560" w:lineRule="exact"/>
        <w:jc w:val="left"/>
        <w:rPr>
          <w:rFonts w:ascii="仿宋_GB2312" w:eastAsia="仿宋_GB2312" w:cs="宋体" w:hAnsiTheme="minorEastAsia"/>
          <w:color w:val="000000"/>
          <w:kern w:val="0"/>
          <w:sz w:val="32"/>
          <w:szCs w:val="32"/>
        </w:rPr>
      </w:pPr>
    </w:p>
    <w:p>
      <w:pPr>
        <w:spacing w:line="560" w:lineRule="exact"/>
        <w:jc w:val="left"/>
        <w:rPr>
          <w:rFonts w:ascii="仿宋_GB2312" w:eastAsia="仿宋_GB2312" w:cs="宋体" w:hAnsiTheme="minorEastAsia"/>
          <w:color w:val="000000"/>
          <w:kern w:val="0"/>
          <w:sz w:val="32"/>
          <w:szCs w:val="32"/>
        </w:rPr>
      </w:pPr>
    </w:p>
    <w:p>
      <w:pPr>
        <w:spacing w:line="560" w:lineRule="exact"/>
        <w:jc w:val="left"/>
        <w:rPr>
          <w:rFonts w:ascii="仿宋_GB2312" w:eastAsia="仿宋_GB2312" w:cs="宋体" w:hAnsiTheme="minorEastAsia"/>
          <w:color w:val="000000"/>
          <w:kern w:val="0"/>
          <w:sz w:val="32"/>
          <w:szCs w:val="32"/>
        </w:rPr>
      </w:pPr>
    </w:p>
    <w:p>
      <w:pPr>
        <w:spacing w:line="560" w:lineRule="exact"/>
        <w:rPr>
          <w:rFonts w:asciiTheme="minorEastAsia" w:hAnsiTheme="minorEastAsia" w:eastAsiaTheme="minorEastAsia"/>
          <w:sz w:val="32"/>
          <w:szCs w:val="32"/>
        </w:rPr>
      </w:pPr>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UnicodeMS">
    <w:altName w:val="DejaVu San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42F15"/>
    <w:rsid w:val="00064F5F"/>
    <w:rsid w:val="00080767"/>
    <w:rsid w:val="000C038A"/>
    <w:rsid w:val="001B7DDD"/>
    <w:rsid w:val="001F06D0"/>
    <w:rsid w:val="001F4CE2"/>
    <w:rsid w:val="0021532B"/>
    <w:rsid w:val="0022032B"/>
    <w:rsid w:val="00262754"/>
    <w:rsid w:val="00262C70"/>
    <w:rsid w:val="002C770C"/>
    <w:rsid w:val="003035AC"/>
    <w:rsid w:val="00305608"/>
    <w:rsid w:val="003527E8"/>
    <w:rsid w:val="003A6317"/>
    <w:rsid w:val="003E4114"/>
    <w:rsid w:val="004315AE"/>
    <w:rsid w:val="00433236"/>
    <w:rsid w:val="00457487"/>
    <w:rsid w:val="0045753A"/>
    <w:rsid w:val="00496610"/>
    <w:rsid w:val="004C188C"/>
    <w:rsid w:val="00531B1A"/>
    <w:rsid w:val="00595C97"/>
    <w:rsid w:val="00596651"/>
    <w:rsid w:val="005B296E"/>
    <w:rsid w:val="006806B8"/>
    <w:rsid w:val="00696E6A"/>
    <w:rsid w:val="0071343C"/>
    <w:rsid w:val="00721B70"/>
    <w:rsid w:val="00730B36"/>
    <w:rsid w:val="00750DF2"/>
    <w:rsid w:val="007635BB"/>
    <w:rsid w:val="007646C3"/>
    <w:rsid w:val="008044F8"/>
    <w:rsid w:val="00842F5A"/>
    <w:rsid w:val="00843A6B"/>
    <w:rsid w:val="00843C5A"/>
    <w:rsid w:val="008975F5"/>
    <w:rsid w:val="008B1C88"/>
    <w:rsid w:val="008B3B1E"/>
    <w:rsid w:val="008D23FE"/>
    <w:rsid w:val="008F3E4B"/>
    <w:rsid w:val="008F585B"/>
    <w:rsid w:val="00942F15"/>
    <w:rsid w:val="0095531B"/>
    <w:rsid w:val="009A031E"/>
    <w:rsid w:val="009A584C"/>
    <w:rsid w:val="009B7041"/>
    <w:rsid w:val="009D5696"/>
    <w:rsid w:val="009E106F"/>
    <w:rsid w:val="00A0004C"/>
    <w:rsid w:val="00A23D60"/>
    <w:rsid w:val="00A27453"/>
    <w:rsid w:val="00A96AAA"/>
    <w:rsid w:val="00AF2E0A"/>
    <w:rsid w:val="00B07A42"/>
    <w:rsid w:val="00B15857"/>
    <w:rsid w:val="00B40B2C"/>
    <w:rsid w:val="00B46119"/>
    <w:rsid w:val="00B87D2B"/>
    <w:rsid w:val="00B9482E"/>
    <w:rsid w:val="00BD5796"/>
    <w:rsid w:val="00BD5F29"/>
    <w:rsid w:val="00CA17C3"/>
    <w:rsid w:val="00CA7575"/>
    <w:rsid w:val="00CC105E"/>
    <w:rsid w:val="00CE27FA"/>
    <w:rsid w:val="00CF1D54"/>
    <w:rsid w:val="00CF6BB7"/>
    <w:rsid w:val="00D504C4"/>
    <w:rsid w:val="00D52B70"/>
    <w:rsid w:val="00D84183"/>
    <w:rsid w:val="00D84A1B"/>
    <w:rsid w:val="00D90E43"/>
    <w:rsid w:val="00E363CC"/>
    <w:rsid w:val="00E46E94"/>
    <w:rsid w:val="00E5788C"/>
    <w:rsid w:val="00FD308A"/>
    <w:rsid w:val="00FD6C1A"/>
    <w:rsid w:val="7DFFB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2196</Words>
  <Characters>12519</Characters>
  <Lines>104</Lines>
  <Paragraphs>29</Paragraphs>
  <TotalTime>394</TotalTime>
  <ScaleCrop>false</ScaleCrop>
  <LinksUpToDate>false</LinksUpToDate>
  <CharactersWithSpaces>14686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2021-08-26T10:13:00Z</dcterms:created>
  <dc:creator>user</dc:creator>
  <cp:lastModifiedBy>gxxc</cp:lastModifiedBy>
  <dcterms:modified xsi:type="dcterms:W3CDTF">2022-09-08T09:44:09Z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