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ind w:firstLine="320" w:firstLineChars="100"/>
        <w:rPr>
          <w:rFonts w:ascii="宋体" w:hAnsi="宋体" w:eastAsia="黑体" w:cs="黑体"/>
          <w:color w:val="000000"/>
          <w:sz w:val="32"/>
          <w:szCs w:val="32"/>
        </w:rPr>
      </w:pPr>
      <w:r>
        <w:rPr>
          <w:rFonts w:hint="eastAsia" w:ascii="宋体" w:hAnsi="宋体" w:eastAsia="黑体" w:cs="黑体"/>
          <w:color w:val="000000"/>
          <w:sz w:val="32"/>
          <w:szCs w:val="32"/>
        </w:rPr>
        <w:t xml:space="preserve">                                         </w:t>
      </w:r>
    </w:p>
    <w:p>
      <w:pPr>
        <w:spacing w:line="600" w:lineRule="exact"/>
        <w:jc w:val="center"/>
        <w:rPr>
          <w:rFonts w:ascii="宋体" w:hAnsi="宋体" w:eastAsia="黑体" w:cs="黑体"/>
          <w:color w:val="000000"/>
          <w:sz w:val="44"/>
          <w:szCs w:val="44"/>
        </w:rPr>
      </w:pPr>
    </w:p>
    <w:p>
      <w:pPr>
        <w:spacing w:line="600" w:lineRule="exact"/>
        <w:jc w:val="center"/>
        <w:rPr>
          <w:rFonts w:ascii="宋体" w:hAnsi="宋体" w:eastAsia="方正小标宋_GBK"/>
          <w:color w:val="FF0000"/>
          <w:sz w:val="36"/>
          <w:szCs w:val="36"/>
        </w:rPr>
      </w:pPr>
      <w:r>
        <w:rPr>
          <w:rFonts w:hint="eastAsia" w:ascii="宋体" w:hAnsi="宋体" w:eastAsia="方正小标宋_GBK" w:cs="黑体"/>
          <w:color w:val="FF0000"/>
          <w:sz w:val="36"/>
          <w:szCs w:val="36"/>
        </w:rPr>
        <w:t>广西壮族自治区国民经济和社会发展</w:t>
      </w:r>
    </w:p>
    <w:p>
      <w:pPr>
        <w:spacing w:line="600" w:lineRule="exact"/>
        <w:jc w:val="center"/>
        <w:rPr>
          <w:rFonts w:ascii="宋体" w:hAnsi="宋体" w:eastAsia="方正小标宋_GBK" w:cs="黑体"/>
          <w:color w:val="FF0000"/>
          <w:sz w:val="36"/>
          <w:szCs w:val="36"/>
        </w:rPr>
      </w:pPr>
      <w:r>
        <w:rPr>
          <w:rFonts w:hint="eastAsia" w:ascii="宋体" w:hAnsi="宋体" w:eastAsia="方正小标宋_GBK" w:cs="黑体"/>
          <w:color w:val="FF0000"/>
          <w:sz w:val="36"/>
          <w:szCs w:val="36"/>
        </w:rPr>
        <w:t>第十三个五年规划纲要</w:t>
      </w:r>
    </w:p>
    <w:p>
      <w:pPr>
        <w:spacing w:line="800" w:lineRule="exact"/>
        <w:jc w:val="center"/>
        <w:rPr>
          <w:rFonts w:ascii="宋体" w:hAnsi="宋体" w:eastAsia="方正小标宋_GBK" w:cs="黑体"/>
          <w:color w:val="FF0000"/>
          <w:sz w:val="52"/>
          <w:szCs w:val="52"/>
        </w:rPr>
      </w:pPr>
    </w:p>
    <w:p>
      <w:pPr>
        <w:spacing w:line="400" w:lineRule="exact"/>
        <w:rPr>
          <w:rFonts w:ascii="宋体" w:hAnsi="宋体" w:eastAsia="楷体_GB2312"/>
          <w:color w:val="FF0000"/>
          <w:sz w:val="32"/>
          <w:szCs w:val="32"/>
        </w:rPr>
      </w:pPr>
    </w:p>
    <w:p>
      <w:pPr>
        <w:spacing w:line="400" w:lineRule="exact"/>
        <w:rPr>
          <w:rFonts w:ascii="宋体" w:hAnsi="宋体" w:eastAsia="楷体_GB2312"/>
          <w:color w:val="FF0000"/>
          <w:sz w:val="32"/>
          <w:szCs w:val="32"/>
        </w:rPr>
      </w:pPr>
    </w:p>
    <w:p>
      <w:pPr>
        <w:spacing w:line="420" w:lineRule="exact"/>
        <w:rPr>
          <w:rFonts w:ascii="宋体" w:hAnsi="宋体" w:eastAsia="楷体_GB2312"/>
          <w:color w:val="FF0000"/>
          <w:sz w:val="32"/>
          <w:szCs w:val="32"/>
        </w:rPr>
      </w:pPr>
    </w:p>
    <w:p>
      <w:pPr>
        <w:spacing w:line="420" w:lineRule="exact"/>
        <w:rPr>
          <w:rFonts w:ascii="宋体" w:hAnsi="宋体" w:eastAsia="楷体_GB2312"/>
          <w:color w:val="FF0000"/>
          <w:sz w:val="32"/>
          <w:szCs w:val="32"/>
        </w:rPr>
      </w:pPr>
    </w:p>
    <w:p>
      <w:pPr>
        <w:spacing w:line="420" w:lineRule="exact"/>
        <w:rPr>
          <w:rFonts w:ascii="宋体" w:hAnsi="宋体" w:eastAsia="楷体_GB2312"/>
          <w:color w:val="FF0000"/>
          <w:sz w:val="32"/>
          <w:szCs w:val="32"/>
        </w:rPr>
      </w:pPr>
    </w:p>
    <w:p>
      <w:pPr>
        <w:spacing w:line="420" w:lineRule="exact"/>
        <w:rPr>
          <w:rFonts w:ascii="宋体" w:hAnsi="宋体" w:eastAsia="楷体_GB2312"/>
          <w:color w:val="FF0000"/>
          <w:sz w:val="32"/>
          <w:szCs w:val="32"/>
        </w:rPr>
      </w:pPr>
    </w:p>
    <w:p>
      <w:pPr>
        <w:spacing w:line="420" w:lineRule="exact"/>
        <w:rPr>
          <w:rFonts w:ascii="宋体" w:hAnsi="宋体" w:eastAsia="楷体_GB2312"/>
          <w:color w:val="FF0000"/>
          <w:sz w:val="32"/>
          <w:szCs w:val="32"/>
        </w:rPr>
      </w:pPr>
    </w:p>
    <w:p>
      <w:pPr>
        <w:rPr>
          <w:rFonts w:ascii="宋体" w:hAnsi="宋体" w:eastAsia="楷体_GB2312"/>
          <w:color w:val="FF0000"/>
          <w:sz w:val="32"/>
          <w:szCs w:val="32"/>
        </w:rPr>
      </w:pPr>
    </w:p>
    <w:p>
      <w:pPr>
        <w:rPr>
          <w:rFonts w:ascii="宋体" w:hAnsi="宋体" w:eastAsia="楷体_GB2312"/>
          <w:color w:val="FF0000"/>
          <w:sz w:val="32"/>
          <w:szCs w:val="32"/>
        </w:rPr>
      </w:pPr>
    </w:p>
    <w:p>
      <w:pPr>
        <w:spacing w:line="400" w:lineRule="exact"/>
        <w:rPr>
          <w:rFonts w:ascii="宋体" w:hAnsi="宋体" w:eastAsia="楷体_GB2312"/>
          <w:color w:val="FF0000"/>
          <w:sz w:val="32"/>
          <w:szCs w:val="32"/>
        </w:rPr>
      </w:pPr>
    </w:p>
    <w:p>
      <w:pPr>
        <w:spacing w:line="400" w:lineRule="exact"/>
        <w:rPr>
          <w:rFonts w:ascii="宋体" w:hAnsi="宋体" w:eastAsia="楷体_GB2312"/>
          <w:color w:val="FF0000"/>
          <w:sz w:val="32"/>
          <w:szCs w:val="32"/>
        </w:rPr>
      </w:pPr>
    </w:p>
    <w:p>
      <w:pPr>
        <w:spacing w:line="400" w:lineRule="exact"/>
        <w:rPr>
          <w:rFonts w:ascii="宋体" w:hAnsi="宋体" w:eastAsia="楷体_GB2312"/>
          <w:color w:val="FF0000"/>
          <w:sz w:val="32"/>
          <w:szCs w:val="32"/>
        </w:rPr>
      </w:pPr>
    </w:p>
    <w:p>
      <w:pPr>
        <w:spacing w:line="400" w:lineRule="exact"/>
        <w:rPr>
          <w:rFonts w:ascii="宋体" w:hAnsi="宋体" w:eastAsia="楷体_GB2312"/>
          <w:color w:val="FF0000"/>
          <w:sz w:val="32"/>
          <w:szCs w:val="32"/>
        </w:rPr>
      </w:pPr>
    </w:p>
    <w:p>
      <w:pPr>
        <w:spacing w:line="540" w:lineRule="exact"/>
        <w:jc w:val="center"/>
        <w:rPr>
          <w:rFonts w:ascii="宋体" w:hAnsi="宋体" w:eastAsia="楷体_GB2312"/>
          <w:b/>
          <w:color w:val="FF0000"/>
          <w:spacing w:val="-4"/>
          <w:sz w:val="26"/>
          <w:szCs w:val="26"/>
        </w:rPr>
      </w:pPr>
      <w:r>
        <w:rPr>
          <w:rFonts w:hint="eastAsia" w:ascii="宋体" w:hAnsi="宋体" w:eastAsia="楷体_GB2312"/>
          <w:b/>
          <w:color w:val="FF0000"/>
          <w:spacing w:val="-4"/>
          <w:sz w:val="26"/>
          <w:szCs w:val="26"/>
        </w:rPr>
        <w:t>广西壮族自治区发展和改革委员会  翻印</w:t>
      </w:r>
    </w:p>
    <w:p>
      <w:pPr>
        <w:jc w:val="center"/>
        <w:rPr>
          <w:rFonts w:ascii="宋体" w:hAnsi="宋体" w:eastAsia="楷体_GB2312"/>
          <w:color w:val="FF0000"/>
          <w:spacing w:val="-4"/>
          <w:sz w:val="26"/>
          <w:szCs w:val="26"/>
        </w:rPr>
        <w:sectPr>
          <w:headerReference r:id="rId5" w:type="first"/>
          <w:footerReference r:id="rId8" w:type="first"/>
          <w:headerReference r:id="rId3" w:type="default"/>
          <w:footerReference r:id="rId6" w:type="default"/>
          <w:headerReference r:id="rId4" w:type="even"/>
          <w:footerReference r:id="rId7" w:type="even"/>
          <w:pgSz w:w="8392" w:h="11907"/>
          <w:pgMar w:top="1134" w:right="1134" w:bottom="1134" w:left="1134" w:header="851" w:footer="850" w:gutter="0"/>
          <w:pgNumType w:fmt="numberInDash" w:start="1"/>
          <w:cols w:space="425" w:num="1"/>
          <w:titlePg/>
          <w:docGrid w:type="lines" w:linePitch="312" w:charSpace="0"/>
        </w:sectPr>
      </w:pPr>
    </w:p>
    <w:p>
      <w:pPr>
        <w:jc w:val="center"/>
        <w:rPr>
          <w:rFonts w:ascii="方正小标宋_GBK" w:hAnsi="黑体" w:eastAsia="方正小标宋_GBK"/>
          <w:color w:val="FF0000"/>
          <w:sz w:val="33"/>
        </w:rPr>
      </w:pPr>
    </w:p>
    <w:p>
      <w:pPr>
        <w:spacing w:line="560" w:lineRule="exact"/>
        <w:jc w:val="center"/>
        <w:rPr>
          <w:rFonts w:ascii="方正小标宋_GBK" w:hAnsi="黑体" w:eastAsia="方正小标宋_GBK"/>
          <w:color w:val="FF0000"/>
          <w:sz w:val="30"/>
          <w:szCs w:val="30"/>
        </w:rPr>
      </w:pPr>
      <w:r>
        <w:rPr>
          <w:rFonts w:hint="eastAsia" w:ascii="方正小标宋_GBK" w:hAnsi="黑体" w:eastAsia="方正小标宋_GBK"/>
          <w:color w:val="FF0000"/>
          <w:sz w:val="30"/>
          <w:szCs w:val="30"/>
        </w:rPr>
        <w:t>广西壮族自治区第十二届人民代表大会</w:t>
      </w:r>
    </w:p>
    <w:p>
      <w:pPr>
        <w:spacing w:line="560" w:lineRule="exact"/>
        <w:jc w:val="center"/>
        <w:rPr>
          <w:rFonts w:ascii="方正小标宋_GBK" w:hAnsi="黑体" w:eastAsia="方正小标宋_GBK"/>
          <w:color w:val="FF0000"/>
          <w:sz w:val="30"/>
          <w:szCs w:val="30"/>
        </w:rPr>
      </w:pPr>
      <w:r>
        <w:rPr>
          <w:rFonts w:hint="eastAsia" w:ascii="方正小标宋_GBK" w:hAnsi="黑体" w:eastAsia="方正小标宋_GBK"/>
          <w:color w:val="FF0000"/>
          <w:sz w:val="30"/>
          <w:szCs w:val="30"/>
        </w:rPr>
        <w:t>第五次会议关于自治区国民经济和社会发展</w:t>
      </w:r>
    </w:p>
    <w:p>
      <w:pPr>
        <w:spacing w:line="560" w:lineRule="exact"/>
        <w:jc w:val="center"/>
        <w:rPr>
          <w:rFonts w:ascii="方正小标宋_GBK" w:hAnsi="黑体" w:eastAsia="方正小标宋_GBK"/>
          <w:color w:val="000000"/>
          <w:sz w:val="30"/>
          <w:szCs w:val="30"/>
        </w:rPr>
      </w:pPr>
      <w:r>
        <w:rPr>
          <w:rFonts w:hint="eastAsia" w:ascii="方正小标宋_GBK" w:hAnsi="黑体" w:eastAsia="方正小标宋_GBK"/>
          <w:color w:val="FF0000"/>
          <w:sz w:val="30"/>
          <w:szCs w:val="30"/>
        </w:rPr>
        <w:t>第十三个五年规划纲要的决议</w:t>
      </w:r>
    </w:p>
    <w:p>
      <w:pPr>
        <w:spacing w:beforeLines="100" w:line="360" w:lineRule="exact"/>
        <w:jc w:val="center"/>
        <w:rPr>
          <w:rFonts w:ascii="楷体_GB2312" w:hAnsi="楷体_GB2312" w:eastAsia="楷体_GB2312" w:cs="楷体_GB2312"/>
          <w:color w:val="FF0000"/>
          <w:sz w:val="26"/>
          <w:szCs w:val="26"/>
        </w:rPr>
      </w:pPr>
      <w:r>
        <w:rPr>
          <w:rFonts w:hint="eastAsia" w:ascii="楷体_GB2312" w:hAnsi="楷体_GB2312" w:eastAsia="楷体_GB2312" w:cs="楷体_GB2312"/>
          <w:color w:val="FF0000"/>
          <w:sz w:val="26"/>
          <w:szCs w:val="26"/>
        </w:rPr>
        <w:t>（2016年1月29日广西壮族自治区第十二届</w:t>
      </w:r>
    </w:p>
    <w:p>
      <w:pPr>
        <w:spacing w:line="400" w:lineRule="exact"/>
        <w:jc w:val="center"/>
        <w:rPr>
          <w:rFonts w:ascii="楷体_GB2312" w:hAnsi="楷体_GB2312" w:eastAsia="楷体_GB2312" w:cs="楷体_GB2312"/>
          <w:color w:val="FF0000"/>
          <w:sz w:val="26"/>
          <w:szCs w:val="26"/>
        </w:rPr>
      </w:pPr>
      <w:r>
        <w:rPr>
          <w:rFonts w:hint="eastAsia" w:ascii="楷体_GB2312" w:hAnsi="楷体_GB2312" w:eastAsia="楷体_GB2312" w:cs="楷体_GB2312"/>
          <w:color w:val="FF0000"/>
          <w:sz w:val="26"/>
          <w:szCs w:val="26"/>
        </w:rPr>
        <w:t>人民代表大会第五次会议通过）</w:t>
      </w:r>
    </w:p>
    <w:p>
      <w:pPr>
        <w:jc w:val="center"/>
        <w:rPr>
          <w:rFonts w:ascii="宋体" w:hAnsi="宋体"/>
          <w:color w:val="000000"/>
          <w:sz w:val="36"/>
          <w:szCs w:val="36"/>
        </w:rPr>
      </w:pPr>
    </w:p>
    <w:p>
      <w:pPr>
        <w:spacing w:line="460" w:lineRule="exact"/>
        <w:ind w:firstLine="520" w:firstLineChars="200"/>
        <w:rPr>
          <w:rFonts w:ascii="仿宋_GB2312" w:hAnsi="宋体" w:eastAsia="仿宋_GB2312"/>
          <w:color w:val="000000"/>
          <w:sz w:val="26"/>
          <w:szCs w:val="26"/>
        </w:rPr>
      </w:pPr>
      <w:r>
        <w:rPr>
          <w:rFonts w:hint="eastAsia" w:ascii="仿宋_GB2312" w:hAnsi="宋体" w:eastAsia="仿宋_GB2312"/>
          <w:color w:val="000000"/>
          <w:sz w:val="26"/>
          <w:szCs w:val="26"/>
        </w:rPr>
        <w:t>广西壮族自治区第十二届人民代表大会第五次会议审查了《广西壮族自治区国民经济和社会发展第十三个五年规划纲要（草案）》（以下简称《纲要》），会议同意自治区人民代表大会财政经济委员会的审查结果报告，决定批准这个《纲要》。</w:t>
      </w:r>
    </w:p>
    <w:p>
      <w:pPr>
        <w:spacing w:line="460" w:lineRule="exact"/>
        <w:ind w:firstLine="520" w:firstLineChars="200"/>
        <w:rPr>
          <w:rFonts w:ascii="仿宋_GB2312" w:hAnsi="宋体" w:eastAsia="仿宋_GB2312"/>
          <w:color w:val="000000"/>
          <w:sz w:val="26"/>
          <w:szCs w:val="26"/>
        </w:rPr>
      </w:pPr>
      <w:r>
        <w:rPr>
          <w:rFonts w:hint="eastAsia" w:ascii="仿宋_GB2312" w:hAnsi="宋体" w:eastAsia="仿宋_GB2312"/>
          <w:color w:val="000000"/>
          <w:sz w:val="26"/>
          <w:szCs w:val="26"/>
        </w:rPr>
        <w:t>会议认为，《纲要》全面贯彻落实党的十八届五中全会和《中共广西壮族自治区委员会关于制定国民经济和社会发展第十三个五年规划的建议》精神，提出的“十三五”时期经济社会发展的指导思想、奋斗目标和主要任务符合我区区情和实际，贯彻了创新、协调、绿色、开放、共享的发展理念，体现了自治区党委提出的“四大战略”和“三大攻坚战”的部署要求，描绘了实现“两个建成”目标的宏伟蓝图，反映了全区各族人民的共同意愿，经过努力是能够实现的。</w:t>
      </w:r>
    </w:p>
    <w:p>
      <w:pPr>
        <w:spacing w:line="460" w:lineRule="exact"/>
        <w:ind w:firstLine="520" w:firstLineChars="200"/>
        <w:rPr>
          <w:rFonts w:ascii="仿宋_GB2312" w:hAnsi="宋体" w:eastAsia="仿宋_GB2312"/>
          <w:color w:val="000000"/>
          <w:sz w:val="26"/>
          <w:szCs w:val="26"/>
        </w:rPr>
      </w:pPr>
      <w:r>
        <w:rPr>
          <w:rFonts w:hint="eastAsia" w:ascii="仿宋_GB2312" w:hAnsi="宋体" w:eastAsia="仿宋_GB2312"/>
          <w:color w:val="000000"/>
          <w:sz w:val="26"/>
          <w:szCs w:val="26"/>
        </w:rPr>
        <w:t>会议号召，全区各族人民要紧密团结在以习近平同志为</w:t>
      </w:r>
      <w:r>
        <w:rPr>
          <w:rFonts w:hint="eastAsia" w:ascii="仿宋_GB2312" w:hAnsi="宋体" w:eastAsia="仿宋_GB2312"/>
          <w:color w:val="000000"/>
          <w:sz w:val="26"/>
          <w:szCs w:val="26"/>
          <w:lang w:eastAsia="zh-CN"/>
        </w:rPr>
        <w:t>核心</w:t>
      </w:r>
      <w:r>
        <w:rPr>
          <w:rFonts w:hint="eastAsia" w:ascii="仿宋_GB2312" w:hAnsi="宋体" w:eastAsia="仿宋_GB2312"/>
          <w:color w:val="000000"/>
          <w:sz w:val="26"/>
          <w:szCs w:val="26"/>
        </w:rPr>
        <w:t>的党中央周围，在自治区党委的领导下，解放思想、开拓创新，锐意进取、奋发有为，为履行好中央赋予广西“三大定位”新使命、加快实现“两个建成”宏伟目标而努力奋斗！</w:t>
      </w:r>
    </w:p>
    <w:p>
      <w:pPr>
        <w:ind w:firstLine="520" w:firstLineChars="200"/>
        <w:jc w:val="center"/>
        <w:rPr>
          <w:rFonts w:ascii="宋体" w:hAnsi="宋体" w:eastAsia="楷体_GB2312"/>
          <w:color w:val="000000"/>
          <w:sz w:val="26"/>
          <w:szCs w:val="26"/>
        </w:rPr>
        <w:sectPr>
          <w:pgSz w:w="8392" w:h="11907"/>
          <w:pgMar w:top="1134" w:right="1134" w:bottom="1134" w:left="1134" w:header="737" w:footer="737" w:gutter="0"/>
          <w:pgNumType w:fmt="numberInDash" w:start="1"/>
          <w:cols w:space="425" w:num="1"/>
          <w:titlePg/>
          <w:docGrid w:type="lines" w:linePitch="312" w:charSpace="0"/>
        </w:sectPr>
      </w:pPr>
    </w:p>
    <w:p>
      <w:pPr>
        <w:spacing w:line="600" w:lineRule="exact"/>
        <w:rPr>
          <w:color w:val="000000"/>
        </w:rPr>
      </w:pPr>
    </w:p>
    <w:p>
      <w:pPr>
        <w:spacing w:line="600" w:lineRule="exact"/>
        <w:jc w:val="center"/>
        <w:rPr>
          <w:rFonts w:ascii="方正小标宋_GBK" w:eastAsia="方正小标宋_GBK"/>
          <w:color w:val="000000"/>
          <w:sz w:val="30"/>
          <w:szCs w:val="30"/>
        </w:rPr>
      </w:pPr>
      <w:r>
        <w:rPr>
          <w:rFonts w:hint="eastAsia" w:ascii="方正小标宋_GBK" w:eastAsia="方正小标宋_GBK"/>
          <w:color w:val="000000"/>
          <w:sz w:val="30"/>
          <w:szCs w:val="30"/>
        </w:rPr>
        <w:t>目  录</w:t>
      </w:r>
    </w:p>
    <w:p>
      <w:pPr>
        <w:spacing w:line="600" w:lineRule="exact"/>
        <w:rPr>
          <w:color w:val="000000"/>
        </w:rPr>
      </w:pPr>
    </w:p>
    <w:p>
      <w:pPr>
        <w:tabs>
          <w:tab w:val="right" w:leader="middleDot" w:pos="6145"/>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第一篇  乘势而上  奋力实现“两个建成”宏伟目标</w:t>
      </w:r>
      <w:r>
        <w:rPr>
          <w:rFonts w:ascii="Times New Roman" w:hAnsi="Times New Roman" w:eastAsia="黑体"/>
          <w:color w:val="000000"/>
          <w:sz w:val="24"/>
          <w:szCs w:val="24"/>
        </w:rPr>
        <w:tab/>
      </w:r>
      <w:r>
        <w:rPr>
          <w:rFonts w:hint="eastAsia" w:ascii="Times New Roman" w:hAnsi="Times New Roman" w:eastAsia="黑体"/>
          <w:color w:val="000000"/>
          <w:sz w:val="24"/>
          <w:szCs w:val="24"/>
        </w:rPr>
        <w:t>1</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第一章  发展环境</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第二章  指导思想</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7</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第三章  基本原则</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8</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第四章  主要目标</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10</w:t>
      </w:r>
    </w:p>
    <w:p>
      <w:pPr>
        <w:tabs>
          <w:tab w:val="right" w:leader="middleDot" w:pos="6145"/>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第二篇  创新驱动  培育发展新动力</w:t>
      </w:r>
      <w:r>
        <w:rPr>
          <w:rFonts w:ascii="Times New Roman" w:hAnsi="Times New Roman" w:eastAsia="黑体"/>
          <w:color w:val="000000"/>
          <w:sz w:val="24"/>
          <w:szCs w:val="24"/>
        </w:rPr>
        <w:tab/>
      </w:r>
      <w:r>
        <w:rPr>
          <w:rFonts w:ascii="Times New Roman" w:hAnsi="Times New Roman" w:eastAsia="黑体"/>
          <w:color w:val="000000"/>
          <w:sz w:val="24"/>
          <w:szCs w:val="24"/>
        </w:rPr>
        <w:t>1</w:t>
      </w:r>
      <w:r>
        <w:rPr>
          <w:rFonts w:hint="eastAsia" w:ascii="Times New Roman" w:hAnsi="Times New Roman" w:eastAsia="黑体"/>
          <w:color w:val="000000"/>
          <w:sz w:val="24"/>
          <w:szCs w:val="24"/>
        </w:rPr>
        <w:t>3</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第五章  增强科技创新引领作用</w:t>
      </w:r>
      <w:r>
        <w:rPr>
          <w:rFonts w:ascii="Times New Roman" w:hAnsi="Times New Roman" w:eastAsia="黑体"/>
          <w:color w:val="000000"/>
          <w:sz w:val="24"/>
          <w:szCs w:val="24"/>
        </w:rPr>
        <w:tab/>
      </w: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rPr>
        <w:t>3</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第六章  推动大众创业万众创新</w:t>
      </w:r>
      <w:r>
        <w:rPr>
          <w:rFonts w:ascii="Times New Roman" w:hAnsi="Times New Roman" w:eastAsia="黑体"/>
          <w:color w:val="000000"/>
          <w:sz w:val="24"/>
          <w:szCs w:val="24"/>
        </w:rPr>
        <w:tab/>
      </w: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rPr>
        <w:t>7</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第七章  加快建设人才强区</w:t>
      </w:r>
      <w:r>
        <w:rPr>
          <w:rFonts w:ascii="Times New Roman" w:hAnsi="Times New Roman" w:eastAsia="黑体"/>
          <w:color w:val="000000"/>
          <w:sz w:val="24"/>
          <w:szCs w:val="24"/>
        </w:rPr>
        <w:tab/>
      </w: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rPr>
        <w:t>8</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第八章  拓展投资消费增长新空间</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20</w:t>
      </w:r>
    </w:p>
    <w:p>
      <w:pPr>
        <w:tabs>
          <w:tab w:val="right" w:leader="middleDot" w:pos="6145"/>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第三篇  开放带动  形成开放合作新格局</w:t>
      </w:r>
      <w:r>
        <w:rPr>
          <w:rFonts w:ascii="Times New Roman" w:hAnsi="Times New Roman" w:eastAsia="黑体"/>
          <w:color w:val="000000"/>
          <w:sz w:val="24"/>
          <w:szCs w:val="24"/>
        </w:rPr>
        <w:tab/>
      </w:r>
      <w:r>
        <w:rPr>
          <w:rFonts w:hint="eastAsia" w:ascii="Times New Roman" w:hAnsi="Times New Roman" w:eastAsia="黑体"/>
          <w:color w:val="000000"/>
          <w:sz w:val="24"/>
          <w:szCs w:val="24"/>
        </w:rPr>
        <w:t>22</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第九章  建设“一带一路”有机衔接重要门户</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22</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第十章  打造西南中南地区开放发展新的战略支点</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27</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第十一章  全面提升开放型经济水平</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30</w:t>
      </w:r>
    </w:p>
    <w:p>
      <w:pPr>
        <w:tabs>
          <w:tab w:val="right" w:leader="middleDot" w:pos="6145"/>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第四篇  深化改革  构建发展新体制</w:t>
      </w:r>
      <w:r>
        <w:rPr>
          <w:rFonts w:ascii="Times New Roman" w:hAnsi="Times New Roman" w:eastAsia="黑体"/>
          <w:color w:val="000000"/>
          <w:sz w:val="24"/>
          <w:szCs w:val="24"/>
        </w:rPr>
        <w:tab/>
      </w:r>
      <w:r>
        <w:rPr>
          <w:rFonts w:hint="eastAsia" w:ascii="Times New Roman" w:hAnsi="Times New Roman" w:eastAsia="黑体"/>
          <w:color w:val="000000"/>
          <w:sz w:val="24"/>
          <w:szCs w:val="24"/>
        </w:rPr>
        <w:t>35</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第十二章  深化行政体制改革</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35</w:t>
      </w:r>
    </w:p>
    <w:p>
      <w:pPr>
        <w:tabs>
          <w:tab w:val="right" w:leader="middleDot" w:pos="6145"/>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第十三章  深化财税体制改革</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36</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第十四章  深化金融体制改革</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37</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第十五章  深化国资国企改革</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38</w:t>
      </w:r>
    </w:p>
    <w:p>
      <w:pPr>
        <w:tabs>
          <w:tab w:val="right" w:leader="middleDot" w:pos="6117"/>
          <w:tab w:val="right" w:leader="middleDot" w:pos="9072"/>
        </w:tabs>
        <w:spacing w:line="450" w:lineRule="exact"/>
        <w:ind w:firstLine="480" w:firstLineChars="200"/>
        <w:rPr>
          <w:rFonts w:ascii="Times New Roman" w:hAnsi="Times New Roman" w:eastAsia="仿宋_GB2312"/>
          <w:color w:val="000000"/>
          <w:sz w:val="24"/>
          <w:szCs w:val="24"/>
        </w:rPr>
      </w:pPr>
      <w:r>
        <w:rPr>
          <w:rFonts w:hint="eastAsia" w:ascii="仿宋_GB2312" w:eastAsia="仿宋_GB2312"/>
          <w:color w:val="000000"/>
          <w:sz w:val="24"/>
          <w:szCs w:val="24"/>
        </w:rPr>
        <w:t>第十六章  深化农村改革</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38</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Times New Roman" w:hAnsi="Times New Roman" w:eastAsia="仿宋_GB2312"/>
          <w:color w:val="000000"/>
          <w:sz w:val="24"/>
          <w:szCs w:val="24"/>
        </w:rPr>
        <w:t>第十七章  健全现代市场体系</w:t>
      </w:r>
      <w:r>
        <w:rPr>
          <w:rFonts w:ascii="Times New Roman" w:hAnsi="Times New Roman" w:eastAsia="黑体"/>
          <w:color w:val="000000"/>
          <w:sz w:val="24"/>
          <w:szCs w:val="24"/>
        </w:rPr>
        <w:tab/>
      </w:r>
      <w:r>
        <w:rPr>
          <w:rFonts w:hint="eastAsia" w:ascii="Times New Roman" w:hAnsi="Times New Roman" w:eastAsia="黑体"/>
          <w:color w:val="000000"/>
          <w:sz w:val="24"/>
          <w:szCs w:val="24"/>
        </w:rPr>
        <w:t>39</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第十八章  统筹推进其他领域改革</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40</w:t>
      </w:r>
    </w:p>
    <w:p>
      <w:pPr>
        <w:tabs>
          <w:tab w:val="right" w:leader="middleDot" w:pos="6117"/>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 xml:space="preserve">第五篇  </w:t>
      </w:r>
      <w:r>
        <w:rPr>
          <w:rFonts w:hint="eastAsia" w:ascii="黑体" w:eastAsia="黑体"/>
          <w:color w:val="000000"/>
          <w:spacing w:val="-6"/>
          <w:sz w:val="24"/>
          <w:szCs w:val="24"/>
        </w:rPr>
        <w:t>强化支撑  构建比较完善的现代基础设施体系</w:t>
      </w:r>
      <w:r>
        <w:rPr>
          <w:rFonts w:ascii="Times New Roman" w:hAnsi="Times New Roman" w:eastAsia="黑体"/>
          <w:color w:val="000000"/>
          <w:spacing w:val="-6"/>
          <w:sz w:val="24"/>
          <w:szCs w:val="24"/>
        </w:rPr>
        <w:tab/>
      </w:r>
      <w:r>
        <w:rPr>
          <w:rFonts w:hint="eastAsia" w:ascii="Times New Roman" w:hAnsi="Times New Roman" w:eastAsia="黑体"/>
          <w:color w:val="000000"/>
          <w:sz w:val="24"/>
          <w:szCs w:val="24"/>
        </w:rPr>
        <w:t>40</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第十九章  构建现代综合交通运输体系</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41</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第二十章  构建现代能源体系</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49</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第二十一章  加强水利设施建设</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52</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第二十二章  提升信息化水平</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53</w:t>
      </w:r>
    </w:p>
    <w:p>
      <w:pPr>
        <w:tabs>
          <w:tab w:val="right" w:leader="middleDot" w:pos="6117"/>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第六篇  转型升级  构建竞争力强的现代产业体系</w:t>
      </w:r>
      <w:r>
        <w:rPr>
          <w:rFonts w:ascii="Times New Roman" w:hAnsi="Times New Roman" w:eastAsia="黑体"/>
          <w:color w:val="000000"/>
          <w:sz w:val="24"/>
          <w:szCs w:val="24"/>
        </w:rPr>
        <w:tab/>
      </w:r>
      <w:r>
        <w:rPr>
          <w:rFonts w:hint="eastAsia" w:ascii="Times New Roman" w:hAnsi="Times New Roman" w:eastAsia="黑体"/>
          <w:color w:val="000000"/>
          <w:sz w:val="24"/>
          <w:szCs w:val="24"/>
        </w:rPr>
        <w:t>56</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第二十三章  推动传统工业优化升级</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56</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第二十四章  加快发展战略性新兴产业</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61</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第二十五章  提升发展现代服务业</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63</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第二十六章  加快推进农业现代化</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70</w:t>
      </w:r>
    </w:p>
    <w:p>
      <w:pPr>
        <w:tabs>
          <w:tab w:val="right" w:leader="middleDot" w:pos="6117"/>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第七篇  脱贫攻坚  确保贫困人口如期脱贫</w:t>
      </w:r>
      <w:r>
        <w:rPr>
          <w:rFonts w:ascii="Times New Roman" w:hAnsi="Times New Roman" w:eastAsia="黑体"/>
          <w:color w:val="000000"/>
          <w:sz w:val="24"/>
          <w:szCs w:val="24"/>
        </w:rPr>
        <w:tab/>
      </w:r>
      <w:r>
        <w:rPr>
          <w:rFonts w:hint="eastAsia" w:ascii="Times New Roman" w:hAnsi="Times New Roman" w:eastAsia="黑体"/>
          <w:color w:val="000000"/>
          <w:sz w:val="24"/>
          <w:szCs w:val="24"/>
        </w:rPr>
        <w:t>76</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第二十七章  全力推进精准扶贫精准脱贫</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76</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第二十八章  支持贫困地区加快发展</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77</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第二十九章  完善脱贫工作机制</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78</w:t>
      </w:r>
    </w:p>
    <w:p>
      <w:pPr>
        <w:tabs>
          <w:tab w:val="right" w:leader="middleDot" w:pos="6117"/>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第八篇  双核驱动  形成三区统筹发展新格局</w:t>
      </w:r>
      <w:r>
        <w:rPr>
          <w:rFonts w:ascii="Times New Roman" w:hAnsi="Times New Roman" w:eastAsia="黑体"/>
          <w:color w:val="000000"/>
          <w:sz w:val="24"/>
          <w:szCs w:val="24"/>
        </w:rPr>
        <w:tab/>
      </w:r>
      <w:r>
        <w:rPr>
          <w:rFonts w:hint="eastAsia" w:ascii="Times New Roman" w:hAnsi="Times New Roman" w:eastAsia="黑体"/>
          <w:color w:val="000000"/>
          <w:sz w:val="24"/>
          <w:szCs w:val="24"/>
        </w:rPr>
        <w:t>79</w:t>
      </w:r>
    </w:p>
    <w:p>
      <w:pPr>
        <w:tabs>
          <w:tab w:val="right" w:leader="middleDot" w:pos="6117"/>
          <w:tab w:val="right" w:leader="middleDot" w:pos="9072"/>
        </w:tabs>
        <w:spacing w:line="450" w:lineRule="exact"/>
        <w:ind w:firstLine="480" w:firstLineChars="200"/>
        <w:rPr>
          <w:rFonts w:ascii="Times New Roman" w:hAnsi="Times New Roman" w:eastAsia="仿宋_GB2312"/>
          <w:color w:val="000000"/>
          <w:sz w:val="24"/>
          <w:szCs w:val="24"/>
        </w:rPr>
      </w:pPr>
      <w:r>
        <w:rPr>
          <w:rFonts w:hint="eastAsia" w:ascii="仿宋_GB2312" w:eastAsia="仿宋_GB2312"/>
          <w:color w:val="000000"/>
          <w:sz w:val="24"/>
          <w:szCs w:val="24"/>
        </w:rPr>
        <w:t>第三十章  推进沿海沿江沿边协调发展</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79</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第三十一章  打造海洋经济强区</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84</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第三十二章  推动形成主体功能区布局</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85</w:t>
      </w:r>
    </w:p>
    <w:p>
      <w:pPr>
        <w:tabs>
          <w:tab w:val="right" w:leader="middleDot" w:pos="6117"/>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第九篇  统筹城乡  形成一体化发展新格局</w:t>
      </w:r>
      <w:r>
        <w:rPr>
          <w:rFonts w:ascii="Times New Roman" w:hAnsi="Times New Roman" w:eastAsia="黑体"/>
          <w:color w:val="000000"/>
          <w:sz w:val="24"/>
          <w:szCs w:val="24"/>
        </w:rPr>
        <w:tab/>
      </w:r>
      <w:r>
        <w:rPr>
          <w:rFonts w:hint="eastAsia" w:ascii="Times New Roman" w:hAnsi="Times New Roman" w:eastAsia="黑体"/>
          <w:color w:val="000000"/>
          <w:sz w:val="24"/>
          <w:szCs w:val="24"/>
        </w:rPr>
        <w:t>88</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第三十三章  积极稳妥推进新型城镇化</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88</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第三十四章  加快建设美丽乡村</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92</w:t>
      </w:r>
    </w:p>
    <w:p>
      <w:pPr>
        <w:tabs>
          <w:tab w:val="right" w:leader="middleDot" w:pos="6117"/>
          <w:tab w:val="right" w:leader="middleDot" w:pos="9072"/>
        </w:tabs>
        <w:spacing w:line="450" w:lineRule="exact"/>
        <w:ind w:firstLine="480" w:firstLineChars="200"/>
        <w:rPr>
          <w:rFonts w:ascii="Times New Roman" w:hAnsi="Times New Roman" w:eastAsia="仿宋_GB2312"/>
          <w:color w:val="000000"/>
          <w:sz w:val="24"/>
          <w:szCs w:val="24"/>
        </w:rPr>
      </w:pPr>
      <w:r>
        <w:rPr>
          <w:rFonts w:hint="eastAsia" w:ascii="仿宋_GB2312" w:eastAsia="仿宋_GB2312"/>
          <w:color w:val="000000"/>
          <w:sz w:val="24"/>
          <w:szCs w:val="24"/>
        </w:rPr>
        <w:t>第三十五章  促进城乡发展一体化</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93</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第三十六章  发展壮大特色县域经济</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94</w:t>
      </w:r>
    </w:p>
    <w:p>
      <w:pPr>
        <w:tabs>
          <w:tab w:val="right" w:leader="middleDot" w:pos="6117"/>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第十篇  绿色发展  构建和谐友好的生态文明体系</w:t>
      </w:r>
      <w:r>
        <w:rPr>
          <w:rFonts w:ascii="Times New Roman" w:hAnsi="Times New Roman" w:eastAsia="黑体"/>
          <w:color w:val="000000"/>
          <w:sz w:val="24"/>
          <w:szCs w:val="24"/>
        </w:rPr>
        <w:tab/>
      </w:r>
      <w:r>
        <w:rPr>
          <w:rFonts w:hint="eastAsia" w:ascii="Times New Roman" w:hAnsi="Times New Roman" w:eastAsia="黑体"/>
          <w:color w:val="000000"/>
          <w:sz w:val="24"/>
          <w:szCs w:val="24"/>
        </w:rPr>
        <w:t>95</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第三十七章  大力发展生态经济</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95</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第三十八章  节约集约利用资源</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98</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第三十九章  加快发展循环经济</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98</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第四十章  提升环境质量</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100</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第四十一章  加强生态建设</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101</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第四十二章  健全生态文明制度</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103</w:t>
      </w:r>
    </w:p>
    <w:p>
      <w:pPr>
        <w:tabs>
          <w:tab w:val="right" w:leader="middleDot" w:pos="6117"/>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 xml:space="preserve">第十一篇  </w:t>
      </w:r>
      <w:r>
        <w:rPr>
          <w:rFonts w:hint="eastAsia" w:ascii="黑体" w:eastAsia="黑体"/>
          <w:color w:val="000000"/>
          <w:spacing w:val="-6"/>
          <w:sz w:val="24"/>
          <w:szCs w:val="24"/>
        </w:rPr>
        <w:t>共建共享  健全基本均等的公共服务体系</w:t>
      </w:r>
      <w:r>
        <w:rPr>
          <w:rFonts w:ascii="Times New Roman" w:hAnsi="Times New Roman" w:eastAsia="黑体"/>
          <w:color w:val="000000"/>
          <w:sz w:val="24"/>
          <w:szCs w:val="24"/>
        </w:rPr>
        <w:tab/>
      </w:r>
      <w:r>
        <w:rPr>
          <w:rFonts w:hint="eastAsia" w:ascii="Times New Roman" w:hAnsi="Times New Roman" w:eastAsia="黑体"/>
          <w:color w:val="000000"/>
          <w:sz w:val="24"/>
          <w:szCs w:val="24"/>
        </w:rPr>
        <w:t>104</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第四十三章  推进教育现代化</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104</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第四十四章  实施就业优先战略</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108</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第四十五章  健全社会保障体系</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109</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第四十六章  推进健康广西建设</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112</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第四十七章  促进人口均衡发展</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115</w:t>
      </w:r>
    </w:p>
    <w:p>
      <w:pPr>
        <w:tabs>
          <w:tab w:val="right" w:leader="middleDot" w:pos="6117"/>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第四十八章  持续增加城乡居民收入</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116</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第四十九章  增加公共服务供给</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117</w:t>
      </w:r>
    </w:p>
    <w:p>
      <w:pPr>
        <w:tabs>
          <w:tab w:val="right" w:leader="middleDot" w:pos="6131"/>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第十二篇  传承发展  完善覆盖城乡的现代公共文化</w:t>
      </w:r>
    </w:p>
    <w:p>
      <w:pPr>
        <w:tabs>
          <w:tab w:val="right" w:leader="middleDot" w:pos="6131"/>
          <w:tab w:val="right" w:leader="middleDot" w:pos="9072"/>
        </w:tabs>
        <w:spacing w:line="450" w:lineRule="exact"/>
        <w:ind w:firstLine="1200" w:firstLineChars="500"/>
        <w:rPr>
          <w:rFonts w:ascii="黑体" w:eastAsia="黑体"/>
          <w:color w:val="000000"/>
          <w:sz w:val="24"/>
          <w:szCs w:val="24"/>
        </w:rPr>
      </w:pPr>
      <w:r>
        <w:rPr>
          <w:rFonts w:hint="eastAsia" w:ascii="黑体" w:eastAsia="黑体"/>
          <w:color w:val="000000"/>
          <w:sz w:val="24"/>
          <w:szCs w:val="24"/>
        </w:rPr>
        <w:t>服务体系</w:t>
      </w:r>
      <w:r>
        <w:rPr>
          <w:rFonts w:ascii="Times New Roman" w:hAnsi="Times New Roman" w:eastAsia="黑体"/>
          <w:color w:val="000000"/>
          <w:sz w:val="24"/>
          <w:szCs w:val="24"/>
        </w:rPr>
        <w:tab/>
      </w:r>
      <w:r>
        <w:rPr>
          <w:rFonts w:hint="eastAsia" w:ascii="Times New Roman" w:hAnsi="Times New Roman" w:eastAsia="黑体"/>
          <w:color w:val="000000"/>
          <w:sz w:val="24"/>
          <w:szCs w:val="24"/>
        </w:rPr>
        <w:t>118</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第五十章  提高公民文明素质</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118</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第五十一章  增强公共文化服务能力</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119</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第五十二章  推动文化产业跨越发展</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120</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第五十三章  提升文化区域影响力</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120</w:t>
      </w:r>
    </w:p>
    <w:p>
      <w:pPr>
        <w:tabs>
          <w:tab w:val="right" w:leader="middleDot" w:pos="6131"/>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第十三篇  创新治理  促进社会和谐包容发展</w:t>
      </w:r>
      <w:r>
        <w:rPr>
          <w:rFonts w:ascii="Times New Roman" w:hAnsi="Times New Roman" w:eastAsia="黑体"/>
          <w:color w:val="000000"/>
          <w:sz w:val="24"/>
          <w:szCs w:val="24"/>
        </w:rPr>
        <w:tab/>
      </w:r>
      <w:r>
        <w:rPr>
          <w:rFonts w:hint="eastAsia" w:ascii="Times New Roman" w:hAnsi="Times New Roman" w:eastAsia="黑体"/>
          <w:color w:val="000000"/>
          <w:sz w:val="24"/>
          <w:szCs w:val="24"/>
        </w:rPr>
        <w:t>121</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第五十四章  加强和创新社会治理</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122</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第五十五章  健全民主法治</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125</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第五十六章  推动军民融合深度发展</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127</w:t>
      </w:r>
    </w:p>
    <w:p>
      <w:pPr>
        <w:tabs>
          <w:tab w:val="right" w:leader="middleDot" w:pos="6131"/>
          <w:tab w:val="right" w:leader="middleDot" w:pos="9072"/>
        </w:tabs>
        <w:spacing w:line="450" w:lineRule="exact"/>
        <w:rPr>
          <w:rFonts w:ascii="黑体" w:eastAsia="黑体"/>
          <w:color w:val="000000"/>
          <w:sz w:val="24"/>
          <w:szCs w:val="24"/>
        </w:rPr>
      </w:pPr>
      <w:r>
        <w:rPr>
          <w:rFonts w:hint="eastAsia" w:ascii="黑体" w:eastAsia="黑体"/>
          <w:color w:val="000000"/>
          <w:sz w:val="24"/>
          <w:szCs w:val="24"/>
        </w:rPr>
        <w:t>第十四篇  合力实施  实现“十三五”发展蓝图</w:t>
      </w:r>
      <w:r>
        <w:rPr>
          <w:rFonts w:ascii="Times New Roman" w:hAnsi="Times New Roman" w:eastAsia="黑体"/>
          <w:color w:val="000000"/>
          <w:sz w:val="24"/>
          <w:szCs w:val="24"/>
        </w:rPr>
        <w:tab/>
      </w:r>
      <w:r>
        <w:rPr>
          <w:rFonts w:hint="eastAsia" w:ascii="Times New Roman" w:hAnsi="Times New Roman" w:eastAsia="黑体"/>
          <w:color w:val="000000"/>
          <w:sz w:val="24"/>
          <w:szCs w:val="24"/>
        </w:rPr>
        <w:t>128</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第五十七章  发挥党的领导核心作用</w:t>
      </w:r>
      <w:r>
        <w:rPr>
          <w:rFonts w:ascii="Times New Roman" w:hAnsi="Times New Roman" w:eastAsia="黑体"/>
          <w:color w:val="000000"/>
          <w:sz w:val="24"/>
          <w:szCs w:val="24"/>
        </w:rPr>
        <w:tab/>
      </w:r>
      <w:r>
        <w:rPr>
          <w:rFonts w:hint="eastAsia" w:ascii="Times New Roman" w:hAnsi="Times New Roman" w:eastAsia="黑体"/>
          <w:color w:val="000000"/>
          <w:sz w:val="24"/>
          <w:szCs w:val="24"/>
        </w:rPr>
        <w:t>128</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第五十八章  健全规划实施机制</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129</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第五十九章  加强政策统筹协调</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129</w:t>
      </w:r>
    </w:p>
    <w:p>
      <w:pPr>
        <w:tabs>
          <w:tab w:val="right" w:leader="middleDot" w:pos="6131"/>
          <w:tab w:val="right" w:leader="middleDot" w:pos="9072"/>
        </w:tabs>
        <w:spacing w:line="450" w:lineRule="exact"/>
        <w:ind w:firstLine="480" w:firstLineChars="200"/>
        <w:rPr>
          <w:rFonts w:ascii="仿宋_GB2312" w:eastAsia="仿宋_GB2312"/>
          <w:color w:val="000000"/>
          <w:sz w:val="24"/>
          <w:szCs w:val="24"/>
        </w:rPr>
      </w:pPr>
      <w:r>
        <w:rPr>
          <w:rFonts w:hint="eastAsia" w:ascii="仿宋_GB2312" w:eastAsia="仿宋_GB2312"/>
          <w:color w:val="000000"/>
          <w:sz w:val="24"/>
          <w:szCs w:val="24"/>
        </w:rPr>
        <w:t>第六十章  充分调动全社会积极性</w:t>
      </w:r>
      <w:r>
        <w:rPr>
          <w:rFonts w:ascii="Times New Roman" w:hAnsi="Times New Roman" w:eastAsia="黑体"/>
          <w:color w:val="000000"/>
          <w:sz w:val="24"/>
          <w:szCs w:val="24"/>
        </w:rPr>
        <w:tab/>
      </w:r>
      <w:r>
        <w:rPr>
          <w:rFonts w:hint="eastAsia" w:ascii="Times New Roman" w:hAnsi="Times New Roman" w:eastAsia="仿宋_GB2312"/>
          <w:color w:val="000000"/>
          <w:sz w:val="24"/>
          <w:szCs w:val="24"/>
        </w:rPr>
        <w:t>130</w:t>
      </w:r>
    </w:p>
    <w:p>
      <w:pPr>
        <w:widowControl/>
        <w:spacing w:line="460" w:lineRule="exact"/>
        <w:ind w:firstLine="520" w:firstLineChars="200"/>
        <w:rPr>
          <w:rFonts w:ascii="宋体" w:hAnsi="宋体" w:eastAsia="仿宋_GB2312" w:cs="仿宋_GB2312"/>
          <w:color w:val="000000"/>
          <w:sz w:val="26"/>
          <w:szCs w:val="26"/>
        </w:rPr>
      </w:pPr>
      <w:r>
        <w:rPr>
          <w:rFonts w:ascii="宋体" w:hAnsi="宋体" w:eastAsia="仿宋_GB2312" w:cs="仿宋_GB2312"/>
          <w:color w:val="000000"/>
          <w:sz w:val="26"/>
          <w:szCs w:val="26"/>
        </w:rPr>
        <w:br w:type="page"/>
      </w:r>
      <w:r>
        <w:rPr>
          <w:rFonts w:hint="eastAsia" w:ascii="宋体" w:hAnsi="宋体" w:eastAsia="仿宋_GB2312" w:cs="仿宋_GB2312"/>
          <w:color w:val="000000"/>
          <w:sz w:val="26"/>
          <w:szCs w:val="26"/>
        </w:rPr>
        <w:t>根据《中共广西壮族自治区委员会关于制定国民经济和社会发展第十三个五年规划的建议》，编制广西壮族自治区国民经济和社会发展第十三个五年（2016—2020年）规划纲要，阐明“十三五”时期经济社会发展的指导思想、目标任务和重大举措，明确政府工作重点，引导市场主体行为，是未来五年全区经济社会发展的宏伟蓝图和各族人民共同的行动纲领。</w:t>
      </w:r>
    </w:p>
    <w:p>
      <w:pPr>
        <w:pStyle w:val="2"/>
        <w:spacing w:beforeLines="80" w:afterLines="80" w:line="460" w:lineRule="exact"/>
        <w:rPr>
          <w:rFonts w:ascii="宋体" w:hAnsi="宋体" w:cs="黑体"/>
          <w:color w:val="000000"/>
          <w:sz w:val="26"/>
          <w:szCs w:val="26"/>
        </w:rPr>
      </w:pPr>
      <w:bookmarkStart w:id="0" w:name="_Toc437010542"/>
      <w:bookmarkStart w:id="1" w:name="_Toc422340928"/>
      <w:bookmarkStart w:id="2" w:name="_Toc438458580"/>
      <w:bookmarkStart w:id="3" w:name="_Toc428544838"/>
      <w:r>
        <w:rPr>
          <w:rFonts w:hint="eastAsia" w:ascii="宋体" w:hAnsi="宋体" w:cs="黑体"/>
          <w:color w:val="000000"/>
          <w:sz w:val="26"/>
          <w:szCs w:val="26"/>
        </w:rPr>
        <w:t>第一篇  乘势而上  奋力实现“两个建成”宏伟目标</w:t>
      </w:r>
      <w:bookmarkEnd w:id="0"/>
      <w:bookmarkEnd w:id="1"/>
      <w:bookmarkEnd w:id="2"/>
      <w:bookmarkEnd w:id="3"/>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十三五”时期是我国全面建成小康社会的决胜期，也是广西贯彻“四个全面”战略布局、落实“三大定位”新使命、实现“两个建成”目标的关键期。必须深刻认识国内外环境的新变化，准确把握发展的历史方位和阶段特征，抓住用好重大战略机遇，促进经济社会持续健康发展。</w:t>
      </w:r>
    </w:p>
    <w:p>
      <w:pPr>
        <w:pStyle w:val="3"/>
        <w:spacing w:beforeLines="50" w:afterLines="50" w:line="460" w:lineRule="exact"/>
        <w:rPr>
          <w:rFonts w:ascii="宋体" w:hAnsi="宋体" w:cs="楷体_GB2312"/>
          <w:b/>
          <w:color w:val="000000"/>
          <w:sz w:val="26"/>
          <w:szCs w:val="26"/>
        </w:rPr>
      </w:pPr>
      <w:bookmarkStart w:id="4" w:name="_Toc422340929"/>
      <w:bookmarkStart w:id="5" w:name="_Toc428544839"/>
      <w:bookmarkStart w:id="6" w:name="_Toc438458581"/>
      <w:bookmarkStart w:id="7" w:name="_Toc437010543"/>
      <w:r>
        <w:rPr>
          <w:rFonts w:hint="eastAsia" w:ascii="宋体" w:hAnsi="宋体" w:cs="楷体_GB2312"/>
          <w:b/>
          <w:color w:val="000000"/>
          <w:sz w:val="26"/>
          <w:szCs w:val="26"/>
        </w:rPr>
        <w:t>第一章  发展环境</w:t>
      </w:r>
      <w:bookmarkEnd w:id="4"/>
      <w:bookmarkEnd w:id="5"/>
      <w:bookmarkEnd w:id="6"/>
      <w:bookmarkEnd w:id="7"/>
    </w:p>
    <w:p>
      <w:pPr>
        <w:spacing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十二五”时期，面对错综复杂的国内外形势和艰巨繁重的改革发展稳定任务，自治区党委、政府团结带领全区各族人民，坚决贯彻落实中央各项方针政策，提出并实施一系列符合广西实际的重大举措，统筹做好稳增长、促改革、调结构、惠民生、防风险各项工作，胜利完成了“十二五”规划目标任务，经济社会发展取得了新的重大成就。经济综合实力跃上新台阶，地区生产总值、固定资产投资、规模以上工业总产值、金融机构存贷款余额等指标超过万亿元，预计2015年地区生产总值达到1.68万亿元，年均增长10.1%。经济结构调整步伐加快，千亿元产业增至10个，新兴产业加快成长，服务业增加值比重提高，农业农村发展态势良好，城镇化水平提升，“双核驱动、三区统筹</w:t>
      </w:r>
      <w:r>
        <w:rPr>
          <w:rFonts w:hint="eastAsia" w:ascii="宋体" w:hAnsi="宋体" w:eastAsia="仿宋_GB2312" w:cs="仿宋_GB2312"/>
          <w:color w:val="000000"/>
          <w:spacing w:val="-4"/>
          <w:sz w:val="26"/>
          <w:szCs w:val="26"/>
        </w:rPr>
        <w:t>”区域发展协调推进。基础设施建设实现大跨越，高铁经济圈和高速公路网基本建成，南宁机场跻身千万旅客吞吐量大港行列，西部首座核电站防城港红沙核电1号机组并网发电，大藤峡水利枢纽开工建设，沿海和内河港口吞吐能力大幅提高。生态文明建设扎实推进，节能减排降碳目标如期完成，生态经济启动发展，美丽广西乡村建设成果丰硕，生态环境质量全国一流。人民生活明显改善，居民收入增长与经济增长同步，新增就业持续增加，社会保障体系基本建立，教育、卫生、文化等社会事业全面进步。全面深化改革蹄疾步稳，财税金融、行政审批、商事制度、北部湾同城化等重点领域改革取得新突破。开放合作深化拓展，广西成为中国与东盟开放合作的前沿</w:t>
      </w:r>
      <w:r>
        <w:rPr>
          <w:rFonts w:hint="eastAsia" w:ascii="宋体" w:hAnsi="宋体" w:eastAsia="仿宋_GB2312" w:cs="仿宋_GB2312"/>
          <w:color w:val="000000"/>
          <w:sz w:val="26"/>
          <w:szCs w:val="26"/>
        </w:rPr>
        <w:t>和窗口，成功承办一系列国家重大外事活动，桂港、桂澳、桂台和参与泛珠三角区域合作不断深化，与周边省份经济联系日趋紧密。特别是中央明确赋予广西构建面向东盟的国际大通道、打造西南中南地区开放发展新的战略支点、形成21世纪海上丝绸之路与丝绸之路经济带有机衔接的重要门户“三大定位”新使命，北部湾经济区、珠江—西江经济带、左右江革命老区、桂林国际旅游胜地实现国家战略全覆盖，广西在国家战略中的地位作用显著提升。“十二五”时期，是广西克难攻坚、爬坡过坎的五年，是富民强桂、腾跃发展的五年，是内聚实力、外塑形象的五年。面向未来，广西站在了新的历史起点上。</w:t>
      </w:r>
    </w:p>
    <w:p>
      <w:pPr>
        <w:spacing w:beforeLines="50"/>
        <w:jc w:val="center"/>
        <w:rPr>
          <w:rFonts w:ascii="黑体" w:hAnsi="宋体" w:eastAsia="黑体"/>
          <w:color w:val="000000"/>
          <w:szCs w:val="24"/>
        </w:rPr>
      </w:pPr>
      <w:r>
        <w:rPr>
          <w:rFonts w:hint="eastAsia" w:ascii="黑体" w:hAnsi="宋体" w:eastAsia="黑体"/>
          <w:color w:val="000000"/>
          <w:szCs w:val="24"/>
        </w:rPr>
        <w:t>专栏1  “十二五”规划纲要主要指标完成情况</w:t>
      </w:r>
    </w:p>
    <w:tbl>
      <w:tblPr>
        <w:tblStyle w:val="21"/>
        <w:tblW w:w="6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331"/>
        <w:gridCol w:w="2468"/>
        <w:gridCol w:w="661"/>
        <w:gridCol w:w="718"/>
        <w:gridCol w:w="583"/>
        <w:gridCol w:w="802"/>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01" w:hRule="atLeast"/>
          <w:tblHeader/>
          <w:jc w:val="center"/>
        </w:trPr>
        <w:tc>
          <w:tcPr>
            <w:tcW w:w="331" w:type="dxa"/>
            <w:vMerge w:val="restart"/>
            <w:vAlign w:val="center"/>
          </w:tcPr>
          <w:p>
            <w:pPr>
              <w:spacing w:line="240" w:lineRule="exact"/>
              <w:jc w:val="center"/>
              <w:rPr>
                <w:rFonts w:ascii="宋体" w:hAnsi="宋体" w:eastAsia="黑体"/>
                <w:color w:val="000000"/>
                <w:kern w:val="0"/>
                <w:sz w:val="16"/>
                <w:szCs w:val="16"/>
              </w:rPr>
            </w:pPr>
          </w:p>
          <w:p>
            <w:pPr>
              <w:spacing w:line="240" w:lineRule="exact"/>
              <w:jc w:val="center"/>
              <w:rPr>
                <w:rFonts w:ascii="宋体" w:hAnsi="宋体" w:eastAsia="黑体"/>
                <w:color w:val="000000"/>
                <w:kern w:val="0"/>
                <w:sz w:val="16"/>
                <w:szCs w:val="16"/>
              </w:rPr>
            </w:pPr>
          </w:p>
          <w:p>
            <w:pPr>
              <w:spacing w:line="240" w:lineRule="exact"/>
              <w:jc w:val="center"/>
              <w:rPr>
                <w:rFonts w:ascii="宋体" w:hAnsi="宋体" w:eastAsia="黑体"/>
                <w:color w:val="000000"/>
                <w:kern w:val="0"/>
                <w:sz w:val="16"/>
                <w:szCs w:val="16"/>
              </w:rPr>
            </w:pPr>
          </w:p>
        </w:tc>
        <w:tc>
          <w:tcPr>
            <w:tcW w:w="2468" w:type="dxa"/>
            <w:vMerge w:val="restart"/>
            <w:vAlign w:val="center"/>
          </w:tcPr>
          <w:p>
            <w:pPr>
              <w:spacing w:line="24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指  标</w:t>
            </w:r>
          </w:p>
        </w:tc>
        <w:tc>
          <w:tcPr>
            <w:tcW w:w="661" w:type="dxa"/>
            <w:vMerge w:val="restart"/>
            <w:vAlign w:val="center"/>
          </w:tcPr>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2010年</w:t>
            </w:r>
          </w:p>
        </w:tc>
        <w:tc>
          <w:tcPr>
            <w:tcW w:w="1301" w:type="dxa"/>
            <w:gridSpan w:val="2"/>
            <w:vAlign w:val="center"/>
          </w:tcPr>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规划目标</w:t>
            </w:r>
          </w:p>
        </w:tc>
        <w:tc>
          <w:tcPr>
            <w:tcW w:w="1760" w:type="dxa"/>
            <w:gridSpan w:val="2"/>
            <w:vAlign w:val="center"/>
          </w:tcPr>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20" w:hRule="atLeast"/>
          <w:tblHeader/>
          <w:jc w:val="center"/>
        </w:trPr>
        <w:tc>
          <w:tcPr>
            <w:tcW w:w="331" w:type="dxa"/>
            <w:vMerge w:val="continue"/>
            <w:vAlign w:val="center"/>
          </w:tcPr>
          <w:p>
            <w:pPr>
              <w:spacing w:line="240" w:lineRule="exact"/>
              <w:jc w:val="center"/>
              <w:rPr>
                <w:rFonts w:ascii="宋体" w:hAnsi="宋体" w:eastAsia="黑体"/>
                <w:color w:val="000000"/>
                <w:kern w:val="0"/>
                <w:sz w:val="16"/>
                <w:szCs w:val="16"/>
              </w:rPr>
            </w:pPr>
          </w:p>
        </w:tc>
        <w:tc>
          <w:tcPr>
            <w:tcW w:w="2468" w:type="dxa"/>
            <w:vMerge w:val="continue"/>
            <w:vAlign w:val="center"/>
          </w:tcPr>
          <w:p>
            <w:pPr>
              <w:spacing w:line="240" w:lineRule="exact"/>
              <w:jc w:val="center"/>
              <w:rPr>
                <w:rFonts w:ascii="宋体" w:hAnsi="宋体" w:eastAsia="黑体"/>
                <w:color w:val="000000"/>
                <w:kern w:val="0"/>
                <w:sz w:val="16"/>
                <w:szCs w:val="16"/>
              </w:rPr>
            </w:pPr>
          </w:p>
        </w:tc>
        <w:tc>
          <w:tcPr>
            <w:tcW w:w="661" w:type="dxa"/>
            <w:vMerge w:val="continue"/>
            <w:vAlign w:val="center"/>
          </w:tcPr>
          <w:p>
            <w:pPr>
              <w:spacing w:line="200" w:lineRule="exact"/>
              <w:jc w:val="center"/>
              <w:rPr>
                <w:rFonts w:ascii="宋体" w:hAnsi="宋体" w:eastAsia="黑体"/>
                <w:color w:val="000000"/>
                <w:kern w:val="0"/>
                <w:sz w:val="16"/>
                <w:szCs w:val="16"/>
              </w:rPr>
            </w:pPr>
          </w:p>
        </w:tc>
        <w:tc>
          <w:tcPr>
            <w:tcW w:w="718" w:type="dxa"/>
            <w:vAlign w:val="center"/>
          </w:tcPr>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2015年</w:t>
            </w:r>
          </w:p>
        </w:tc>
        <w:tc>
          <w:tcPr>
            <w:tcW w:w="583" w:type="dxa"/>
            <w:vAlign w:val="center"/>
          </w:tcPr>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年均</w:t>
            </w:r>
          </w:p>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增长%</w:t>
            </w:r>
          </w:p>
        </w:tc>
        <w:tc>
          <w:tcPr>
            <w:tcW w:w="802" w:type="dxa"/>
            <w:vAlign w:val="center"/>
          </w:tcPr>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2015年</w:t>
            </w:r>
          </w:p>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预计</w:t>
            </w:r>
          </w:p>
        </w:tc>
        <w:tc>
          <w:tcPr>
            <w:tcW w:w="958" w:type="dxa"/>
            <w:vAlign w:val="center"/>
          </w:tcPr>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年均</w:t>
            </w:r>
          </w:p>
          <w:p>
            <w:pPr>
              <w:spacing w:line="20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经济发展</w:t>
            </w: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w:t>
            </w:r>
            <w:r>
              <w:rPr>
                <w:rFonts w:hint="eastAsia" w:ascii="宋体" w:hAnsi="宋体"/>
                <w:color w:val="000000"/>
                <w:kern w:val="0"/>
                <w:sz w:val="16"/>
                <w:szCs w:val="16"/>
              </w:rPr>
              <w:t>地区生产总值（亿元）</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95</w:t>
            </w:r>
            <w:r>
              <w:rPr>
                <w:rFonts w:hint="eastAsia" w:ascii="宋体" w:hAnsi="宋体"/>
                <w:color w:val="000000"/>
                <w:kern w:val="0"/>
                <w:sz w:val="16"/>
                <w:szCs w:val="16"/>
              </w:rPr>
              <w:t>70</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15500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10</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16803</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w:t>
            </w:r>
            <w:r>
              <w:rPr>
                <w:rFonts w:hint="eastAsia" w:ascii="宋体" w:hAnsi="宋体"/>
                <w:color w:val="000000"/>
                <w:kern w:val="0"/>
                <w:sz w:val="16"/>
                <w:szCs w:val="16"/>
              </w:rPr>
              <w:t>人均地区生产总值（元）</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20219</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30390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9</w:t>
            </w:r>
          </w:p>
        </w:tc>
        <w:tc>
          <w:tcPr>
            <w:tcW w:w="802"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w:t>
            </w:r>
            <w:r>
              <w:rPr>
                <w:rFonts w:hint="eastAsia" w:ascii="宋体" w:hAnsi="宋体"/>
                <w:color w:val="000000"/>
                <w:kern w:val="0"/>
                <w:sz w:val="16"/>
                <w:szCs w:val="16"/>
              </w:rPr>
              <w:t>5190</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3.</w:t>
            </w:r>
            <w:r>
              <w:rPr>
                <w:rFonts w:hint="eastAsia" w:ascii="宋体" w:hAnsi="宋体"/>
                <w:color w:val="000000"/>
                <w:kern w:val="0"/>
                <w:sz w:val="16"/>
                <w:szCs w:val="16"/>
              </w:rPr>
              <w:t>财政收入（亿元）</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122</w:t>
            </w:r>
            <w:r>
              <w:rPr>
                <w:rFonts w:hint="eastAsia" w:ascii="宋体" w:hAnsi="宋体"/>
                <w:color w:val="000000"/>
                <w:kern w:val="0"/>
                <w:sz w:val="16"/>
                <w:szCs w:val="16"/>
              </w:rPr>
              <w:t>9</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2460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15</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2333</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4.</w:t>
            </w:r>
            <w:r>
              <w:rPr>
                <w:rFonts w:hint="eastAsia" w:ascii="宋体" w:hAnsi="宋体"/>
                <w:color w:val="000000"/>
                <w:kern w:val="0"/>
                <w:sz w:val="16"/>
                <w:szCs w:val="16"/>
              </w:rPr>
              <w:t>全社会固定资产投资（万亿元）</w:t>
            </w:r>
          </w:p>
        </w:tc>
        <w:tc>
          <w:tcPr>
            <w:tcW w:w="661"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w:t>
            </w:r>
          </w:p>
        </w:tc>
        <w:tc>
          <w:tcPr>
            <w:tcW w:w="58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20</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[6.4]</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5.</w:t>
            </w:r>
            <w:r>
              <w:rPr>
                <w:rFonts w:hint="eastAsia" w:ascii="宋体" w:hAnsi="宋体"/>
                <w:color w:val="000000"/>
                <w:kern w:val="0"/>
                <w:sz w:val="16"/>
                <w:szCs w:val="16"/>
              </w:rPr>
              <w:t>社会消费品零售总额（亿元）</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3312</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6580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15</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6348</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6.</w:t>
            </w:r>
            <w:r>
              <w:rPr>
                <w:rFonts w:hint="eastAsia" w:ascii="宋体" w:hAnsi="宋体"/>
                <w:color w:val="000000"/>
                <w:kern w:val="0"/>
                <w:sz w:val="16"/>
                <w:szCs w:val="16"/>
              </w:rPr>
              <w:t>进出口总额（亿美元）</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177</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460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21</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512.6</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7.</w:t>
            </w:r>
            <w:r>
              <w:rPr>
                <w:rFonts w:hint="eastAsia" w:ascii="宋体" w:hAnsi="宋体"/>
                <w:color w:val="000000"/>
                <w:kern w:val="0"/>
                <w:sz w:val="16"/>
                <w:szCs w:val="16"/>
              </w:rPr>
              <w:t>工业增加值比重（</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40.3</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45.6</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37.7</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[下降2.6]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8.</w:t>
            </w:r>
            <w:r>
              <w:rPr>
                <w:rFonts w:hint="eastAsia" w:ascii="宋体" w:hAnsi="宋体"/>
                <w:color w:val="000000"/>
                <w:kern w:val="0"/>
                <w:sz w:val="16"/>
                <w:szCs w:val="16"/>
              </w:rPr>
              <w:t>服务业增加值比重（</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35.4</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37</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38.9</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9.</w:t>
            </w:r>
            <w:r>
              <w:rPr>
                <w:rFonts w:hint="eastAsia" w:ascii="宋体" w:hAnsi="宋体"/>
                <w:color w:val="000000"/>
                <w:kern w:val="0"/>
                <w:sz w:val="16"/>
                <w:szCs w:val="16"/>
              </w:rPr>
              <w:t>城镇化率（</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40.1</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50</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47.06</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10.</w:t>
            </w:r>
            <w:r>
              <w:rPr>
                <w:rFonts w:hint="eastAsia" w:ascii="宋体" w:hAnsi="宋体"/>
                <w:color w:val="000000"/>
                <w:kern w:val="0"/>
                <w:sz w:val="16"/>
                <w:szCs w:val="16"/>
              </w:rPr>
              <w:t>粮食综合生产能力（万吨）</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1412</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15</w:t>
            </w:r>
            <w:r>
              <w:rPr>
                <w:rFonts w:hint="eastAsia" w:ascii="宋体" w:hAnsi="宋体"/>
                <w:color w:val="000000"/>
                <w:kern w:val="0"/>
                <w:sz w:val="16"/>
                <w:szCs w:val="16"/>
              </w:rPr>
              <w:t>00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w:t>
            </w:r>
            <w:r>
              <w:rPr>
                <w:rFonts w:hint="eastAsia" w:ascii="宋体" w:hAnsi="宋体"/>
                <w:color w:val="000000"/>
                <w:kern w:val="0"/>
                <w:sz w:val="16"/>
                <w:szCs w:val="16"/>
              </w:rPr>
              <w:t>2</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1525</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科技教育</w:t>
            </w: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11.</w:t>
            </w:r>
            <w:r>
              <w:rPr>
                <w:rFonts w:hint="eastAsia" w:ascii="宋体" w:hAnsi="宋体"/>
                <w:color w:val="000000"/>
                <w:kern w:val="0"/>
                <w:sz w:val="16"/>
                <w:szCs w:val="16"/>
              </w:rPr>
              <w:t>九年义务教育巩固率（</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85</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93</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93</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12.</w:t>
            </w:r>
            <w:r>
              <w:rPr>
                <w:rFonts w:hint="eastAsia" w:ascii="宋体" w:hAnsi="宋体"/>
                <w:color w:val="000000"/>
                <w:kern w:val="0"/>
                <w:sz w:val="16"/>
                <w:szCs w:val="16"/>
              </w:rPr>
              <w:t>高中阶段教育毛入学率（</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69</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87</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87.3</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70"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13.</w:t>
            </w:r>
            <w:r>
              <w:rPr>
                <w:rFonts w:hint="eastAsia" w:ascii="宋体" w:hAnsi="宋体"/>
                <w:color w:val="000000"/>
                <w:kern w:val="0"/>
                <w:sz w:val="16"/>
                <w:szCs w:val="16"/>
              </w:rPr>
              <w:t>研究与试验发展经费支出占地区生产总值比重（</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0.66</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2.2</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0.74</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14.</w:t>
            </w:r>
            <w:r>
              <w:rPr>
                <w:rFonts w:hint="eastAsia" w:ascii="宋体" w:hAnsi="宋体"/>
                <w:color w:val="000000"/>
                <w:kern w:val="0"/>
                <w:sz w:val="16"/>
                <w:szCs w:val="16"/>
              </w:rPr>
              <w:t>每万人口发明专利拥有量（件）</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0.29</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[5.9倍]</w:t>
            </w:r>
            <w:r>
              <w:rPr>
                <w:rFonts w:ascii="宋体" w:hAnsi="宋体"/>
                <w:color w:val="000000"/>
                <w:kern w:val="0"/>
                <w:sz w:val="16"/>
                <w:szCs w:val="16"/>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331" w:type="dxa"/>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资源环境</w:t>
            </w: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15.</w:t>
            </w:r>
            <w:r>
              <w:rPr>
                <w:rFonts w:hint="eastAsia" w:ascii="宋体" w:hAnsi="宋体"/>
                <w:color w:val="000000"/>
                <w:kern w:val="0"/>
                <w:sz w:val="16"/>
                <w:szCs w:val="16"/>
              </w:rPr>
              <w:t>耕地保有量（万亩）</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6</w:t>
            </w:r>
            <w:r>
              <w:rPr>
                <w:rFonts w:hint="eastAsia" w:ascii="宋体" w:hAnsi="宋体"/>
                <w:color w:val="000000"/>
                <w:kern w:val="0"/>
                <w:sz w:val="16"/>
                <w:szCs w:val="16"/>
              </w:rPr>
              <w:t>646</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6316</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6613</w:t>
            </w:r>
          </w:p>
        </w:tc>
        <w:tc>
          <w:tcPr>
            <w:tcW w:w="958" w:type="dxa"/>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86"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ind w:left="240" w:hanging="240" w:hangingChars="150"/>
              <w:rPr>
                <w:rFonts w:ascii="宋体" w:hAnsi="宋体"/>
                <w:color w:val="000000"/>
                <w:kern w:val="0"/>
                <w:sz w:val="16"/>
                <w:szCs w:val="16"/>
              </w:rPr>
            </w:pPr>
            <w:r>
              <w:rPr>
                <w:rFonts w:ascii="宋体" w:hAnsi="宋体"/>
                <w:color w:val="000000"/>
                <w:kern w:val="0"/>
                <w:sz w:val="16"/>
                <w:szCs w:val="16"/>
              </w:rPr>
              <w:t>16</w:t>
            </w:r>
            <w:r>
              <w:rPr>
                <w:rFonts w:hint="eastAsia" w:ascii="宋体" w:hAnsi="宋体"/>
                <w:color w:val="000000"/>
                <w:kern w:val="0"/>
                <w:sz w:val="16"/>
                <w:szCs w:val="16"/>
              </w:rPr>
              <w:t>.单位工业增加值用水量（吨</w:t>
            </w:r>
            <w:r>
              <w:rPr>
                <w:rFonts w:ascii="宋体" w:hAnsi="宋体"/>
                <w:color w:val="000000"/>
                <w:kern w:val="0"/>
                <w:sz w:val="16"/>
                <w:szCs w:val="16"/>
              </w:rPr>
              <w:t>/</w:t>
            </w:r>
            <w:r>
              <w:rPr>
                <w:rFonts w:hint="eastAsia" w:ascii="宋体" w:hAnsi="宋体"/>
                <w:color w:val="000000"/>
                <w:kern w:val="0"/>
                <w:sz w:val="16"/>
                <w:szCs w:val="16"/>
              </w:rPr>
              <w:t>万元）</w:t>
            </w:r>
          </w:p>
        </w:tc>
        <w:tc>
          <w:tcPr>
            <w:tcW w:w="661"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143</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100</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60</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下降15.9%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17.</w:t>
            </w:r>
            <w:r>
              <w:rPr>
                <w:rFonts w:hint="eastAsia" w:ascii="宋体" w:hAnsi="宋体"/>
                <w:color w:val="000000"/>
                <w:kern w:val="0"/>
                <w:sz w:val="16"/>
                <w:szCs w:val="16"/>
              </w:rPr>
              <w:t>农业灌溉用水有效利用系数</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0.415</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0.45</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0.45</w:t>
            </w:r>
          </w:p>
        </w:tc>
        <w:tc>
          <w:tcPr>
            <w:tcW w:w="958" w:type="dxa"/>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spacing w:val="-12"/>
                <w:kern w:val="0"/>
                <w:sz w:val="16"/>
                <w:szCs w:val="16"/>
              </w:rPr>
            </w:pPr>
            <w:r>
              <w:rPr>
                <w:rFonts w:ascii="宋体" w:hAnsi="宋体"/>
                <w:color w:val="000000"/>
                <w:spacing w:val="-12"/>
                <w:kern w:val="0"/>
                <w:sz w:val="16"/>
                <w:szCs w:val="16"/>
              </w:rPr>
              <w:t>18.</w:t>
            </w:r>
            <w:r>
              <w:rPr>
                <w:rFonts w:hint="eastAsia" w:ascii="宋体" w:hAnsi="宋体"/>
                <w:color w:val="000000"/>
                <w:spacing w:val="-12"/>
                <w:kern w:val="0"/>
                <w:sz w:val="16"/>
                <w:szCs w:val="16"/>
              </w:rPr>
              <w:t>非化石能源占一次能源消费比重（</w:t>
            </w:r>
            <w:r>
              <w:rPr>
                <w:rFonts w:ascii="宋体" w:hAnsi="宋体"/>
                <w:color w:val="000000"/>
                <w:spacing w:val="-12"/>
                <w:kern w:val="0"/>
                <w:sz w:val="16"/>
                <w:szCs w:val="16"/>
              </w:rPr>
              <w:t>%</w:t>
            </w:r>
            <w:r>
              <w:rPr>
                <w:rFonts w:hint="eastAsia" w:ascii="宋体" w:hAnsi="宋体"/>
                <w:color w:val="000000"/>
                <w:spacing w:val="-12"/>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17.8</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20</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25</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spacing w:val="-12"/>
                <w:kern w:val="0"/>
                <w:sz w:val="16"/>
                <w:szCs w:val="16"/>
              </w:rPr>
            </w:pPr>
            <w:r>
              <w:rPr>
                <w:rFonts w:ascii="宋体" w:hAnsi="宋体"/>
                <w:color w:val="000000"/>
                <w:spacing w:val="-12"/>
                <w:kern w:val="0"/>
                <w:sz w:val="16"/>
                <w:szCs w:val="16"/>
              </w:rPr>
              <w:t>19.</w:t>
            </w:r>
            <w:r>
              <w:rPr>
                <w:rFonts w:hint="eastAsia" w:ascii="宋体" w:hAnsi="宋体"/>
                <w:color w:val="000000"/>
                <w:spacing w:val="-12"/>
                <w:kern w:val="0"/>
                <w:sz w:val="16"/>
                <w:szCs w:val="16"/>
              </w:rPr>
              <w:t>单位地区生产总值能源消耗降低（</w:t>
            </w:r>
            <w:r>
              <w:rPr>
                <w:rFonts w:ascii="宋体" w:hAnsi="宋体"/>
                <w:color w:val="000000"/>
                <w:spacing w:val="-12"/>
                <w:kern w:val="0"/>
                <w:sz w:val="16"/>
                <w:szCs w:val="16"/>
              </w:rPr>
              <w:t>%</w:t>
            </w:r>
            <w:r>
              <w:rPr>
                <w:rFonts w:hint="eastAsia" w:ascii="宋体" w:hAnsi="宋体"/>
                <w:color w:val="000000"/>
                <w:spacing w:val="-12"/>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r>
              <w:rPr>
                <w:rFonts w:ascii="宋体" w:hAnsi="宋体"/>
                <w:color w:val="000000"/>
                <w:kern w:val="0"/>
                <w:sz w:val="16"/>
                <w:szCs w:val="16"/>
              </w:rPr>
              <w:t>15</w:t>
            </w:r>
            <w:r>
              <w:rPr>
                <w:rFonts w:hint="eastAsia" w:ascii="宋体" w:hAnsi="宋体"/>
                <w:color w:val="000000"/>
                <w:kern w:val="0"/>
                <w:sz w:val="16"/>
                <w:szCs w:val="16"/>
              </w:rPr>
              <w:t>]</w:t>
            </w:r>
          </w:p>
        </w:tc>
        <w:tc>
          <w:tcPr>
            <w:tcW w:w="583" w:type="dxa"/>
            <w:vAlign w:val="center"/>
          </w:tcPr>
          <w:p>
            <w:pPr>
              <w:spacing w:line="240" w:lineRule="exact"/>
              <w:jc w:val="center"/>
              <w:rPr>
                <w:rFonts w:ascii="宋体" w:hAnsi="宋体"/>
                <w:color w:val="000000"/>
                <w:kern w:val="0"/>
                <w:sz w:val="16"/>
                <w:szCs w:val="16"/>
              </w:rPr>
            </w:pPr>
          </w:p>
        </w:tc>
        <w:tc>
          <w:tcPr>
            <w:tcW w:w="1760" w:type="dxa"/>
            <w:gridSpan w:val="2"/>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完成国家</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下达的任务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3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20.</w:t>
            </w:r>
            <w:r>
              <w:rPr>
                <w:rFonts w:hint="eastAsia" w:ascii="宋体" w:hAnsi="宋体"/>
                <w:color w:val="000000"/>
                <w:kern w:val="0"/>
                <w:sz w:val="16"/>
                <w:szCs w:val="16"/>
              </w:rPr>
              <w:t>单位地区生产总值二氧化碳排放降低（</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r>
              <w:rPr>
                <w:rFonts w:ascii="宋体" w:hAnsi="宋体"/>
                <w:color w:val="000000"/>
                <w:kern w:val="0"/>
                <w:sz w:val="16"/>
                <w:szCs w:val="16"/>
              </w:rPr>
              <w:t>16</w:t>
            </w:r>
            <w:r>
              <w:rPr>
                <w:rFonts w:hint="eastAsia" w:ascii="宋体" w:hAnsi="宋体"/>
                <w:color w:val="000000"/>
                <w:kern w:val="0"/>
                <w:sz w:val="16"/>
                <w:szCs w:val="16"/>
              </w:rPr>
              <w:t>]</w:t>
            </w:r>
          </w:p>
        </w:tc>
        <w:tc>
          <w:tcPr>
            <w:tcW w:w="583" w:type="dxa"/>
            <w:vAlign w:val="center"/>
          </w:tcPr>
          <w:p>
            <w:pPr>
              <w:spacing w:line="240" w:lineRule="exact"/>
              <w:jc w:val="center"/>
              <w:rPr>
                <w:rFonts w:ascii="宋体" w:hAnsi="宋体"/>
                <w:color w:val="000000"/>
                <w:kern w:val="0"/>
                <w:sz w:val="16"/>
                <w:szCs w:val="16"/>
              </w:rPr>
            </w:pPr>
          </w:p>
        </w:tc>
        <w:tc>
          <w:tcPr>
            <w:tcW w:w="1760" w:type="dxa"/>
            <w:gridSpan w:val="2"/>
            <w:vMerge w:val="continue"/>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21.</w:t>
            </w:r>
            <w:r>
              <w:rPr>
                <w:rFonts w:hint="eastAsia" w:ascii="宋体" w:hAnsi="宋体"/>
                <w:color w:val="000000"/>
                <w:kern w:val="0"/>
                <w:sz w:val="16"/>
                <w:szCs w:val="16"/>
              </w:rPr>
              <w:t>化学需氧量排放减少（</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r>
              <w:rPr>
                <w:rFonts w:ascii="宋体" w:hAnsi="宋体"/>
                <w:color w:val="000000"/>
                <w:kern w:val="0"/>
                <w:sz w:val="16"/>
                <w:szCs w:val="16"/>
              </w:rPr>
              <w:t>7.6</w:t>
            </w:r>
            <w:r>
              <w:rPr>
                <w:rFonts w:hint="eastAsia" w:ascii="宋体" w:hAnsi="宋体"/>
                <w:color w:val="000000"/>
                <w:kern w:val="0"/>
                <w:sz w:val="16"/>
                <w:szCs w:val="16"/>
              </w:rPr>
              <w:t>]</w:t>
            </w:r>
          </w:p>
        </w:tc>
        <w:tc>
          <w:tcPr>
            <w:tcW w:w="583" w:type="dxa"/>
            <w:vAlign w:val="center"/>
          </w:tcPr>
          <w:p>
            <w:pPr>
              <w:spacing w:line="240" w:lineRule="exact"/>
              <w:jc w:val="center"/>
              <w:rPr>
                <w:rFonts w:ascii="宋体" w:hAnsi="宋体"/>
                <w:color w:val="000000"/>
                <w:kern w:val="0"/>
                <w:sz w:val="16"/>
                <w:szCs w:val="16"/>
              </w:rPr>
            </w:pPr>
          </w:p>
        </w:tc>
        <w:tc>
          <w:tcPr>
            <w:tcW w:w="1760" w:type="dxa"/>
            <w:gridSpan w:val="2"/>
            <w:vMerge w:val="continue"/>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22.</w:t>
            </w:r>
            <w:r>
              <w:rPr>
                <w:rFonts w:hint="eastAsia" w:ascii="宋体" w:hAnsi="宋体"/>
                <w:color w:val="000000"/>
                <w:kern w:val="0"/>
                <w:sz w:val="16"/>
                <w:szCs w:val="16"/>
              </w:rPr>
              <w:t>二氧化硫排放减少（</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r>
              <w:rPr>
                <w:rFonts w:ascii="宋体" w:hAnsi="宋体"/>
                <w:color w:val="000000"/>
                <w:kern w:val="0"/>
                <w:sz w:val="16"/>
                <w:szCs w:val="16"/>
              </w:rPr>
              <w:t>7.95</w:t>
            </w:r>
            <w:r>
              <w:rPr>
                <w:rFonts w:hint="eastAsia" w:ascii="宋体" w:hAnsi="宋体"/>
                <w:color w:val="000000"/>
                <w:kern w:val="0"/>
                <w:sz w:val="16"/>
                <w:szCs w:val="16"/>
              </w:rPr>
              <w:t>]</w:t>
            </w:r>
          </w:p>
        </w:tc>
        <w:tc>
          <w:tcPr>
            <w:tcW w:w="583" w:type="dxa"/>
            <w:vAlign w:val="center"/>
          </w:tcPr>
          <w:p>
            <w:pPr>
              <w:spacing w:line="240" w:lineRule="exact"/>
              <w:jc w:val="center"/>
              <w:rPr>
                <w:rFonts w:ascii="宋体" w:hAnsi="宋体"/>
                <w:color w:val="000000"/>
                <w:kern w:val="0"/>
                <w:sz w:val="16"/>
                <w:szCs w:val="16"/>
              </w:rPr>
            </w:pPr>
          </w:p>
        </w:tc>
        <w:tc>
          <w:tcPr>
            <w:tcW w:w="1760" w:type="dxa"/>
            <w:gridSpan w:val="2"/>
            <w:vMerge w:val="continue"/>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23.</w:t>
            </w:r>
            <w:r>
              <w:rPr>
                <w:rFonts w:hint="eastAsia" w:ascii="宋体" w:hAnsi="宋体"/>
                <w:color w:val="000000"/>
                <w:kern w:val="0"/>
                <w:sz w:val="16"/>
                <w:szCs w:val="16"/>
              </w:rPr>
              <w:t>氨氮排放减少（</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r>
              <w:rPr>
                <w:rFonts w:ascii="宋体" w:hAnsi="宋体"/>
                <w:color w:val="000000"/>
                <w:kern w:val="0"/>
                <w:sz w:val="16"/>
                <w:szCs w:val="16"/>
              </w:rPr>
              <w:t>8.75</w:t>
            </w:r>
            <w:r>
              <w:rPr>
                <w:rFonts w:hint="eastAsia" w:ascii="宋体" w:hAnsi="宋体"/>
                <w:color w:val="000000"/>
                <w:kern w:val="0"/>
                <w:sz w:val="16"/>
                <w:szCs w:val="16"/>
              </w:rPr>
              <w:t>]</w:t>
            </w:r>
          </w:p>
        </w:tc>
        <w:tc>
          <w:tcPr>
            <w:tcW w:w="583" w:type="dxa"/>
            <w:vAlign w:val="center"/>
          </w:tcPr>
          <w:p>
            <w:pPr>
              <w:spacing w:line="240" w:lineRule="exact"/>
              <w:jc w:val="center"/>
              <w:rPr>
                <w:rFonts w:ascii="宋体" w:hAnsi="宋体"/>
                <w:color w:val="000000"/>
                <w:kern w:val="0"/>
                <w:sz w:val="16"/>
                <w:szCs w:val="16"/>
              </w:rPr>
            </w:pPr>
          </w:p>
        </w:tc>
        <w:tc>
          <w:tcPr>
            <w:tcW w:w="1760" w:type="dxa"/>
            <w:gridSpan w:val="2"/>
            <w:vMerge w:val="continue"/>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24.</w:t>
            </w:r>
            <w:r>
              <w:rPr>
                <w:rFonts w:hint="eastAsia" w:ascii="宋体" w:hAnsi="宋体"/>
                <w:color w:val="000000"/>
                <w:kern w:val="0"/>
                <w:sz w:val="16"/>
                <w:szCs w:val="16"/>
              </w:rPr>
              <w:t>氮氧化物排放减少（</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r>
              <w:rPr>
                <w:rFonts w:ascii="宋体" w:hAnsi="宋体"/>
                <w:color w:val="000000"/>
                <w:kern w:val="0"/>
                <w:sz w:val="16"/>
                <w:szCs w:val="16"/>
              </w:rPr>
              <w:t>8.85</w:t>
            </w:r>
            <w:r>
              <w:rPr>
                <w:rFonts w:hint="eastAsia" w:ascii="宋体" w:hAnsi="宋体"/>
                <w:color w:val="000000"/>
                <w:kern w:val="0"/>
                <w:sz w:val="16"/>
                <w:szCs w:val="16"/>
              </w:rPr>
              <w:t>]</w:t>
            </w:r>
          </w:p>
        </w:tc>
        <w:tc>
          <w:tcPr>
            <w:tcW w:w="583" w:type="dxa"/>
            <w:vAlign w:val="center"/>
          </w:tcPr>
          <w:p>
            <w:pPr>
              <w:spacing w:line="240" w:lineRule="exact"/>
              <w:jc w:val="center"/>
              <w:rPr>
                <w:rFonts w:ascii="宋体" w:hAnsi="宋体"/>
                <w:color w:val="000000"/>
                <w:kern w:val="0"/>
                <w:sz w:val="16"/>
                <w:szCs w:val="16"/>
              </w:rPr>
            </w:pPr>
          </w:p>
        </w:tc>
        <w:tc>
          <w:tcPr>
            <w:tcW w:w="1760" w:type="dxa"/>
            <w:gridSpan w:val="2"/>
            <w:vMerge w:val="continue"/>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25.</w:t>
            </w:r>
            <w:r>
              <w:rPr>
                <w:rFonts w:hint="eastAsia" w:ascii="宋体" w:hAnsi="宋体"/>
                <w:color w:val="000000"/>
                <w:kern w:val="0"/>
                <w:sz w:val="16"/>
                <w:szCs w:val="16"/>
              </w:rPr>
              <w:t>森林覆盖率（</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58</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60</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62.2</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26.</w:t>
            </w:r>
            <w:r>
              <w:rPr>
                <w:rFonts w:hint="eastAsia" w:ascii="宋体" w:hAnsi="宋体"/>
                <w:color w:val="000000"/>
                <w:kern w:val="0"/>
                <w:sz w:val="16"/>
                <w:szCs w:val="16"/>
              </w:rPr>
              <w:t>森林蓄积量（亿立方米）</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6.04</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6.5</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7.4</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人民生活</w:t>
            </w: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27.</w:t>
            </w:r>
            <w:r>
              <w:rPr>
                <w:rFonts w:hint="eastAsia" w:ascii="宋体" w:hAnsi="宋体"/>
                <w:color w:val="000000"/>
                <w:kern w:val="0"/>
                <w:sz w:val="16"/>
                <w:szCs w:val="16"/>
              </w:rPr>
              <w:t>全区总人口（万人）</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5159</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＜5400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r>
              <w:rPr>
                <w:rFonts w:hint="eastAsia" w:ascii="宋体" w:hAnsi="宋体"/>
                <w:color w:val="000000"/>
                <w:kern w:val="0"/>
                <w:sz w:val="16"/>
                <w:szCs w:val="16"/>
              </w:rPr>
              <w:t>10‰</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5518</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28.</w:t>
            </w:r>
            <w:r>
              <w:rPr>
                <w:rFonts w:hint="eastAsia" w:ascii="宋体" w:hAnsi="宋体"/>
                <w:color w:val="000000"/>
                <w:kern w:val="0"/>
                <w:sz w:val="16"/>
                <w:szCs w:val="16"/>
              </w:rPr>
              <w:t>城镇登记失业率（</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3.7</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＜5</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w:t>
            </w:r>
          </w:p>
        </w:tc>
        <w:tc>
          <w:tcPr>
            <w:tcW w:w="958" w:type="dxa"/>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29.</w:t>
            </w:r>
            <w:r>
              <w:rPr>
                <w:rFonts w:hint="eastAsia" w:ascii="宋体" w:hAnsi="宋体"/>
                <w:color w:val="000000"/>
                <w:kern w:val="0"/>
                <w:sz w:val="16"/>
                <w:szCs w:val="16"/>
              </w:rPr>
              <w:t>城镇新增就业人数（万人）</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[190]</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[250]</w:t>
            </w:r>
          </w:p>
        </w:tc>
        <w:tc>
          <w:tcPr>
            <w:tcW w:w="958" w:type="dxa"/>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29"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30.</w:t>
            </w:r>
            <w:r>
              <w:rPr>
                <w:rFonts w:hint="eastAsia" w:ascii="宋体" w:hAnsi="宋体"/>
                <w:color w:val="000000"/>
                <w:kern w:val="0"/>
                <w:sz w:val="16"/>
                <w:szCs w:val="16"/>
              </w:rPr>
              <w:t>城镇参加基本养老保险人数（万人）</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450</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540</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574</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31.</w:t>
            </w:r>
            <w:r>
              <w:rPr>
                <w:rFonts w:hint="eastAsia" w:ascii="宋体" w:hAnsi="宋体"/>
                <w:color w:val="000000"/>
                <w:kern w:val="0"/>
                <w:sz w:val="16"/>
                <w:szCs w:val="16"/>
              </w:rPr>
              <w:t>城乡三项医疗保险参保率（</w:t>
            </w:r>
            <w:r>
              <w:rPr>
                <w:rFonts w:ascii="宋体" w:hAnsi="宋体"/>
                <w:color w:val="000000"/>
                <w:kern w:val="0"/>
                <w:sz w:val="16"/>
                <w:szCs w:val="16"/>
              </w:rPr>
              <w:t>%</w:t>
            </w:r>
            <w:r>
              <w:rPr>
                <w:rFonts w:hint="eastAsia" w:ascii="宋体" w:hAnsi="宋体"/>
                <w:color w:val="000000"/>
                <w:kern w:val="0"/>
                <w:sz w:val="16"/>
                <w:szCs w:val="16"/>
              </w:rPr>
              <w:t>）</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80</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95</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97</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55"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32.</w:t>
            </w:r>
            <w:r>
              <w:rPr>
                <w:rFonts w:hint="eastAsia" w:ascii="宋体" w:hAnsi="宋体"/>
                <w:color w:val="000000"/>
                <w:kern w:val="0"/>
                <w:sz w:val="16"/>
                <w:szCs w:val="16"/>
              </w:rPr>
              <w:t>城镇保障性安居工程建设（万套）</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w:t>
            </w:r>
          </w:p>
        </w:tc>
        <w:tc>
          <w:tcPr>
            <w:tcW w:w="71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[90]</w:t>
            </w:r>
          </w:p>
        </w:tc>
        <w:tc>
          <w:tcPr>
            <w:tcW w:w="583" w:type="dxa"/>
            <w:vAlign w:val="center"/>
          </w:tcPr>
          <w:p>
            <w:pPr>
              <w:spacing w:line="240" w:lineRule="exact"/>
              <w:jc w:val="center"/>
              <w:rPr>
                <w:rFonts w:ascii="宋体" w:hAnsi="宋体"/>
                <w:color w:val="000000"/>
                <w:kern w:val="0"/>
                <w:sz w:val="16"/>
                <w:szCs w:val="16"/>
              </w:rPr>
            </w:pP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[117.6]</w:t>
            </w:r>
          </w:p>
        </w:tc>
        <w:tc>
          <w:tcPr>
            <w:tcW w:w="958" w:type="dxa"/>
            <w:vAlign w:val="center"/>
          </w:tcPr>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33.</w:t>
            </w:r>
            <w:r>
              <w:rPr>
                <w:rFonts w:hint="eastAsia" w:ascii="宋体" w:hAnsi="宋体"/>
                <w:color w:val="000000"/>
                <w:kern w:val="0"/>
                <w:sz w:val="16"/>
                <w:szCs w:val="16"/>
              </w:rPr>
              <w:t>城镇居民人均可支配收入（元）</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17064</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27480</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10</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26416</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实际增长6.9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23" w:hRule="atLeast"/>
          <w:jc w:val="center"/>
        </w:trPr>
        <w:tc>
          <w:tcPr>
            <w:tcW w:w="331" w:type="dxa"/>
            <w:vMerge w:val="continue"/>
            <w:vAlign w:val="center"/>
          </w:tcPr>
          <w:p>
            <w:pPr>
              <w:spacing w:line="240" w:lineRule="exact"/>
              <w:jc w:val="center"/>
              <w:rPr>
                <w:rFonts w:ascii="宋体" w:hAnsi="宋体"/>
                <w:color w:val="000000"/>
                <w:kern w:val="0"/>
                <w:sz w:val="16"/>
                <w:szCs w:val="16"/>
              </w:rPr>
            </w:pPr>
          </w:p>
        </w:tc>
        <w:tc>
          <w:tcPr>
            <w:tcW w:w="2468" w:type="dxa"/>
            <w:vAlign w:val="center"/>
          </w:tcPr>
          <w:p>
            <w:pPr>
              <w:spacing w:line="240" w:lineRule="exact"/>
              <w:rPr>
                <w:rFonts w:ascii="宋体" w:hAnsi="宋体"/>
                <w:color w:val="000000"/>
                <w:kern w:val="0"/>
                <w:sz w:val="16"/>
                <w:szCs w:val="16"/>
              </w:rPr>
            </w:pPr>
            <w:r>
              <w:rPr>
                <w:rFonts w:ascii="宋体" w:hAnsi="宋体"/>
                <w:color w:val="000000"/>
                <w:kern w:val="0"/>
                <w:sz w:val="16"/>
                <w:szCs w:val="16"/>
              </w:rPr>
              <w:t>34.</w:t>
            </w:r>
            <w:r>
              <w:rPr>
                <w:rFonts w:hint="eastAsia" w:ascii="宋体" w:hAnsi="宋体"/>
                <w:color w:val="000000"/>
                <w:kern w:val="0"/>
                <w:sz w:val="16"/>
                <w:szCs w:val="16"/>
              </w:rPr>
              <w:t>农村居民人均纯收入（元）</w:t>
            </w:r>
          </w:p>
        </w:tc>
        <w:tc>
          <w:tcPr>
            <w:tcW w:w="661"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4543</w:t>
            </w:r>
          </w:p>
        </w:tc>
        <w:tc>
          <w:tcPr>
            <w:tcW w:w="718"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7655</w:t>
            </w:r>
          </w:p>
        </w:tc>
        <w:tc>
          <w:tcPr>
            <w:tcW w:w="58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11</w:t>
            </w:r>
          </w:p>
        </w:tc>
        <w:tc>
          <w:tcPr>
            <w:tcW w:w="802"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9467</w:t>
            </w:r>
          </w:p>
        </w:tc>
        <w:tc>
          <w:tcPr>
            <w:tcW w:w="958"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实际增长9.8</w:t>
            </w:r>
          </w:p>
        </w:tc>
      </w:tr>
    </w:tbl>
    <w:p>
      <w:pPr>
        <w:spacing w:line="240" w:lineRule="exact"/>
        <w:rPr>
          <w:rFonts w:ascii="楷体_GB2312" w:hAnsi="黑体" w:eastAsia="楷体_GB2312"/>
          <w:color w:val="000000"/>
          <w:kern w:val="0"/>
          <w:sz w:val="16"/>
          <w:szCs w:val="16"/>
        </w:rPr>
      </w:pPr>
      <w:r>
        <w:rPr>
          <w:rFonts w:hint="eastAsia" w:ascii="楷体_GB2312" w:hAnsi="黑体" w:eastAsia="楷体_GB2312"/>
          <w:color w:val="000000"/>
          <w:kern w:val="0"/>
          <w:sz w:val="16"/>
          <w:szCs w:val="16"/>
        </w:rPr>
        <w:t>注：[ ]为五年累计</w:t>
      </w:r>
    </w:p>
    <w:p>
      <w:pPr>
        <w:spacing w:beforeLines="50"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十三五”时期，广西发展仍处于可以大有作为的重要战略机遇期。和平与发展的时代主题没有变，世界多极化、经济全球化、文化多样化、社会信息化深入发展，世界经济缓慢复苏，新一轮科技革命和产业变革蓄势待发，全球治理体系深刻变化。我国经济长期向好的基本面没有变，经济发展进入新常态，发展方式加快转变，新的增长动力加快孕育，经济中高速增长、迈向中高端水平的趋势明显。党的十八届五中全会提出创新、协调、绿色、开放、共享五大发展理念，中央赋予广西“三大定位”新使命，为广西“十三五”发展指明了方向和路径，有利于广西发挥与东盟陆海相邻的独特优势，扩大对内对外开放，加快形成面向国内国际开放合作新格局。国家扶持中西部地区培育新的增长点，支持贫困地区加快脱贫致富奔小康，为广西补齐全面建成小康社会短板提供了历史性机遇。未来五年，广西将由低中等收入向中上等收入跨越，由乡村社会向城市社会转型，产业由中低端向中高端水平提升，工业化由中期阶段向中后期阶段发展，人民生活由总体小康向全面小康迈进，进入新的发展阶段，保持经济持续较快发展的空间广阔、潜力巨大。</w:t>
      </w:r>
    </w:p>
    <w:p>
      <w:pPr>
        <w:spacing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 xml:space="preserve">必须清醒看到，世界经济仍在深度调整，复苏进程艰难曲折。我国“三期叠加”特征明显，新旧增长动力逐步转换，发展不平衡、不协调、不可持续问题仍然突出。广西在工业化中期阶段进入新常态，面临的挑战更加复杂严峻，主要是稳增长压力大，传统增长动力减弱，新兴增长动力难以接续；转型升级难度大，传统产业面临困境，先进制造业和现代服务业发展滞后，创新能力薄弱；资源约束趋紧，土地、能源、人才等供需矛盾突出，环境质量有所下降；公共服务供给不足，公共产品和公共服务水平与全国差距大，贫困量多面广程度深，短板瓶颈明显；开放型经济水平不高，区位优势和通道作用未能充分发挥，与东盟和周边地区的互联互通亟待加强。特别是新常态下广西经济增速高于全国的优势在弱化，进一步缩小与全国差距的难度加大，与全国同步全面建成小康社会的任务艰巨繁重。“十三五”时期最大的挑战是实现经济持续较快发展，最强的制约是创新能力不足和人才紧缺，最突出的短板是脱贫攻坚和民生改善，最硬的任务是实现“两个建成”尤其是全面建成小康社会目标。必须增强忧患意识、责任意识和担当精神，主动适应新常态，全面把握机遇，沉着应对挑战，着力在优结构、增动力，扬优势、补短板上下功夫，努力走出一条新常态下具有广西特色的发展之路。 </w:t>
      </w:r>
    </w:p>
    <w:p>
      <w:pPr>
        <w:pStyle w:val="3"/>
        <w:spacing w:beforeLines="50" w:afterLines="50" w:line="460" w:lineRule="exact"/>
        <w:rPr>
          <w:rFonts w:ascii="宋体" w:hAnsi="宋体" w:cs="楷体_GB2312"/>
          <w:b/>
          <w:color w:val="000000"/>
          <w:sz w:val="26"/>
          <w:szCs w:val="26"/>
        </w:rPr>
      </w:pPr>
      <w:bookmarkStart w:id="8" w:name="_Toc428544840"/>
      <w:bookmarkStart w:id="9" w:name="_Toc438458582"/>
      <w:bookmarkStart w:id="10" w:name="_Toc437010544"/>
      <w:bookmarkStart w:id="11" w:name="_Toc422340930"/>
      <w:r>
        <w:rPr>
          <w:rFonts w:hint="eastAsia" w:ascii="宋体" w:hAnsi="宋体" w:cs="楷体_GB2312"/>
          <w:b/>
          <w:color w:val="000000"/>
          <w:sz w:val="26"/>
          <w:szCs w:val="26"/>
        </w:rPr>
        <w:t>第二章  指导思想</w:t>
      </w:r>
      <w:bookmarkEnd w:id="8"/>
      <w:bookmarkEnd w:id="9"/>
      <w:bookmarkEnd w:id="10"/>
      <w:bookmarkEnd w:id="11"/>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高举中国特色社会主义伟大旗帜，全面贯彻党的十八大和十八届三中、四中、五中全会精神，以马克思列宁主义、毛泽东思想、邓小平理论、“三个代表”重要思想、科学发展观为指导，深入贯彻习近平总书记系列重要讲话精神，按照“五位一体”总体布局和“四个全面”战略布局，坚持发展第一要务，以提高发展质量和效益为中心，牢固树立和贯彻落实创新、协调、绿色、开放、共享发展理念，紧紧围绕“三大定位”，深入实施创新驱动、开放带动、双核驱动、绿色发展四大战略，强力推进基础设施建设、产业转型升级、农村全面脱贫三大攻坚战，全力推动结构性改革，加快发展、赶超跨越，形成引领经济发展新常态的体制机制和发展方式，构建面向国内国际开放合作新格局，推动沿海沿江沿边地区协调发展，确保如期实现“两个建成”目标。</w:t>
      </w:r>
    </w:p>
    <w:p>
      <w:pPr>
        <w:spacing w:line="460" w:lineRule="exact"/>
        <w:ind w:firstLine="520" w:firstLineChars="200"/>
        <w:rPr>
          <w:rFonts w:ascii="宋体" w:hAnsi="宋体" w:eastAsia="仿宋_GB2312" w:cs="仿宋_GB2312"/>
          <w:snapToGrid w:val="0"/>
          <w:color w:val="000000"/>
          <w:spacing w:val="-4"/>
          <w:kern w:val="0"/>
          <w:sz w:val="26"/>
          <w:szCs w:val="26"/>
        </w:rPr>
      </w:pPr>
      <w:r>
        <w:rPr>
          <w:rFonts w:hint="eastAsia" w:ascii="宋体" w:hAnsi="宋体" w:eastAsia="黑体" w:cs="仿宋_GB2312"/>
          <w:snapToGrid w:val="0"/>
          <w:color w:val="000000"/>
          <w:kern w:val="0"/>
          <w:sz w:val="26"/>
          <w:szCs w:val="26"/>
        </w:rPr>
        <w:t>第一个建成目标，</w:t>
      </w:r>
      <w:r>
        <w:rPr>
          <w:rFonts w:hint="eastAsia" w:ascii="宋体" w:hAnsi="宋体" w:eastAsia="仿宋_GB2312" w:cs="仿宋_GB2312"/>
          <w:snapToGrid w:val="0"/>
          <w:color w:val="000000"/>
          <w:kern w:val="0"/>
          <w:sz w:val="26"/>
          <w:szCs w:val="26"/>
        </w:rPr>
        <w:t>就是要与全国同步全面建成小康社会，保持经济持续较快发展，确保经济增速高于全国平均水平，到2020年地区生产总值、城乡居民人均收入比2010年翻一番以上，发展质量和效益明显提高，新型工业化、信息化、城镇化、农业现代化水</w:t>
      </w:r>
      <w:r>
        <w:rPr>
          <w:rFonts w:hint="eastAsia" w:ascii="宋体" w:hAnsi="宋体" w:eastAsia="仿宋_GB2312" w:cs="仿宋_GB2312"/>
          <w:snapToGrid w:val="0"/>
          <w:color w:val="000000"/>
          <w:spacing w:val="-4"/>
          <w:kern w:val="0"/>
          <w:sz w:val="26"/>
          <w:szCs w:val="26"/>
        </w:rPr>
        <w:t>平进一步提升，人民生活显著改善，贫困现象基本消除，公共服务体系更加健全，基本公共服务均等化水平稳步提高，生态环境绿色宜人，人民民主持续扩大，法治建设全面加强，5000多万各族群众共同迈入全面小康社会。</w:t>
      </w:r>
      <w:r>
        <w:rPr>
          <w:rFonts w:hint="eastAsia" w:ascii="宋体" w:hAnsi="宋体" w:eastAsia="黑体" w:cs="仿宋_GB2312"/>
          <w:snapToGrid w:val="0"/>
          <w:color w:val="000000"/>
          <w:spacing w:val="-4"/>
          <w:kern w:val="0"/>
          <w:sz w:val="26"/>
          <w:szCs w:val="26"/>
        </w:rPr>
        <w:t>第二个建成目标，</w:t>
      </w:r>
      <w:r>
        <w:rPr>
          <w:rFonts w:hint="eastAsia" w:ascii="宋体" w:hAnsi="宋体" w:eastAsia="仿宋_GB2312" w:cs="仿宋_GB2312"/>
          <w:snapToGrid w:val="0"/>
          <w:color w:val="000000"/>
          <w:spacing w:val="-4"/>
          <w:kern w:val="0"/>
          <w:sz w:val="26"/>
          <w:szCs w:val="26"/>
        </w:rPr>
        <w:t>就是要基本建成中央赋予广西的“三大定位”，即构建面向东盟的国际大通道，打造西南中南地区开放发展新的战略支点，形成21世纪海上丝绸之路与丝绸之路经济带有机衔接的重要门户。</w:t>
      </w:r>
    </w:p>
    <w:p>
      <w:pPr>
        <w:pStyle w:val="3"/>
        <w:spacing w:beforeLines="50" w:afterLines="50" w:line="460" w:lineRule="exact"/>
        <w:rPr>
          <w:rFonts w:ascii="宋体" w:hAnsi="宋体" w:cs="楷体_GB2312"/>
          <w:b/>
          <w:color w:val="000000"/>
          <w:sz w:val="26"/>
          <w:szCs w:val="26"/>
        </w:rPr>
      </w:pPr>
      <w:bookmarkStart w:id="12" w:name="_Toc438458583"/>
      <w:r>
        <w:rPr>
          <w:rFonts w:hint="eastAsia" w:ascii="宋体" w:hAnsi="宋体" w:cs="楷体_GB2312"/>
          <w:b/>
          <w:color w:val="000000"/>
          <w:sz w:val="26"/>
          <w:szCs w:val="26"/>
        </w:rPr>
        <w:t>第三章  基本原则</w:t>
      </w:r>
      <w:bookmarkEnd w:id="12"/>
    </w:p>
    <w:p>
      <w:pPr>
        <w:spacing w:line="460" w:lineRule="exact"/>
        <w:ind w:firstLine="504" w:firstLineChars="200"/>
        <w:rPr>
          <w:rFonts w:ascii="宋体" w:hAnsi="宋体" w:eastAsia="仿宋_GB2312" w:cs="仿宋_GB2312"/>
          <w:snapToGrid w:val="0"/>
          <w:color w:val="000000"/>
          <w:spacing w:val="-4"/>
          <w:kern w:val="0"/>
          <w:sz w:val="26"/>
          <w:szCs w:val="26"/>
        </w:rPr>
      </w:pPr>
      <w:r>
        <w:rPr>
          <w:rFonts w:hint="eastAsia" w:ascii="宋体" w:hAnsi="宋体" w:eastAsia="仿宋_GB2312" w:cs="仿宋_GB2312"/>
          <w:snapToGrid w:val="0"/>
          <w:color w:val="000000"/>
          <w:spacing w:val="-4"/>
          <w:kern w:val="0"/>
          <w:sz w:val="26"/>
          <w:szCs w:val="26"/>
        </w:rPr>
        <w:t>如期实现“两个建成”目标，必须坚持以下原则：</w:t>
      </w:r>
    </w:p>
    <w:p>
      <w:pPr>
        <w:spacing w:line="460" w:lineRule="exact"/>
        <w:ind w:firstLine="520" w:firstLineChars="200"/>
        <w:rPr>
          <w:rFonts w:ascii="宋体" w:hAnsi="宋体" w:eastAsia="仿宋_GB2312" w:cs="仿宋_GB2312"/>
          <w:color w:val="000000"/>
          <w:sz w:val="26"/>
          <w:szCs w:val="26"/>
        </w:rPr>
      </w:pPr>
      <w:r>
        <w:rPr>
          <w:rFonts w:hint="eastAsia" w:ascii="宋体" w:hAnsi="宋体" w:eastAsia="楷体_GB2312"/>
          <w:color w:val="000000"/>
          <w:sz w:val="26"/>
          <w:szCs w:val="26"/>
        </w:rPr>
        <w:t>坚持创新驱动。</w:t>
      </w:r>
      <w:r>
        <w:rPr>
          <w:rFonts w:hint="eastAsia" w:ascii="宋体" w:hAnsi="宋体" w:eastAsia="仿宋_GB2312" w:cs="仿宋_GB2312"/>
          <w:snapToGrid w:val="0"/>
          <w:color w:val="000000"/>
          <w:kern w:val="0"/>
          <w:sz w:val="26"/>
          <w:szCs w:val="26"/>
        </w:rPr>
        <w:t>把创新摆在经济社会发展全局的核心位置，大力推进</w:t>
      </w:r>
      <w:r>
        <w:rPr>
          <w:rFonts w:hint="eastAsia" w:ascii="宋体" w:hAnsi="宋体" w:eastAsia="仿宋_GB2312" w:cs="仿宋_GB2312"/>
          <w:color w:val="000000"/>
          <w:sz w:val="26"/>
          <w:szCs w:val="26"/>
        </w:rPr>
        <w:t>以科技创新为核心的全面创新，</w:t>
      </w:r>
      <w:r>
        <w:rPr>
          <w:rFonts w:hint="eastAsia" w:ascii="宋体" w:hAnsi="宋体" w:eastAsia="仿宋_GB2312" w:cs="仿宋_GB2312"/>
          <w:snapToGrid w:val="0"/>
          <w:color w:val="000000"/>
          <w:kern w:val="0"/>
          <w:sz w:val="26"/>
          <w:szCs w:val="26"/>
        </w:rPr>
        <w:t>形成大众创业万众创新生动局面，构建以创新为引领的经济体系和发展模式，</w:t>
      </w:r>
      <w:r>
        <w:rPr>
          <w:rFonts w:hint="eastAsia" w:ascii="宋体" w:hAnsi="宋体" w:eastAsia="仿宋_GB2312" w:cs="仿宋_GB2312"/>
          <w:color w:val="000000"/>
          <w:sz w:val="26"/>
          <w:szCs w:val="26"/>
        </w:rPr>
        <w:t>建设创新型广西，</w:t>
      </w:r>
      <w:r>
        <w:rPr>
          <w:rFonts w:hint="eastAsia" w:ascii="宋体" w:hAnsi="宋体" w:eastAsia="仿宋_GB2312" w:cs="仿宋_GB2312"/>
          <w:snapToGrid w:val="0"/>
          <w:color w:val="000000"/>
          <w:kern w:val="0"/>
          <w:sz w:val="26"/>
          <w:szCs w:val="26"/>
        </w:rPr>
        <w:t>让创新成为发展的动力源泉。</w:t>
      </w:r>
    </w:p>
    <w:p>
      <w:pPr>
        <w:spacing w:line="456" w:lineRule="exact"/>
        <w:ind w:firstLine="520" w:firstLineChars="200"/>
        <w:rPr>
          <w:rFonts w:ascii="宋体" w:hAnsi="宋体" w:eastAsia="仿宋_GB2312" w:cs="仿宋_GB2312"/>
          <w:snapToGrid w:val="0"/>
          <w:color w:val="000000"/>
          <w:kern w:val="0"/>
          <w:sz w:val="26"/>
          <w:szCs w:val="26"/>
        </w:rPr>
      </w:pPr>
      <w:r>
        <w:rPr>
          <w:rFonts w:hint="eastAsia" w:ascii="宋体" w:hAnsi="宋体" w:eastAsia="楷体_GB2312"/>
          <w:color w:val="000000"/>
          <w:sz w:val="26"/>
          <w:szCs w:val="26"/>
        </w:rPr>
        <w:t>坚持开放带动。</w:t>
      </w:r>
      <w:r>
        <w:rPr>
          <w:rFonts w:hint="eastAsia" w:ascii="宋体" w:hAnsi="宋体" w:eastAsia="仿宋_GB2312" w:cs="仿宋_GB2312"/>
          <w:snapToGrid w:val="0"/>
          <w:color w:val="000000"/>
          <w:kern w:val="0"/>
          <w:sz w:val="26"/>
          <w:szCs w:val="26"/>
        </w:rPr>
        <w:t>充分发挥和拓展独特的区位优势，主动融入“一带一路”建设，培育参与国际合作和竞争新优势，加快形成对内对外开放新格局，全方位拓展开放合作广度深度，以开放合作促进高质量的发展。</w:t>
      </w:r>
    </w:p>
    <w:p>
      <w:pPr>
        <w:spacing w:line="456" w:lineRule="exact"/>
        <w:ind w:firstLine="520" w:firstLineChars="200"/>
        <w:rPr>
          <w:rFonts w:ascii="宋体" w:hAnsi="宋体" w:eastAsia="仿宋_GB2312" w:cs="仿宋_GB2312"/>
          <w:snapToGrid w:val="0"/>
          <w:color w:val="000000"/>
          <w:kern w:val="0"/>
          <w:sz w:val="26"/>
          <w:szCs w:val="26"/>
        </w:rPr>
      </w:pPr>
      <w:r>
        <w:rPr>
          <w:rFonts w:hint="eastAsia" w:ascii="宋体" w:hAnsi="宋体" w:eastAsia="楷体_GB2312"/>
          <w:color w:val="000000"/>
          <w:sz w:val="26"/>
          <w:szCs w:val="26"/>
        </w:rPr>
        <w:t>坚持双核驱动。</w:t>
      </w:r>
      <w:r>
        <w:rPr>
          <w:rFonts w:hint="eastAsia" w:ascii="宋体" w:hAnsi="宋体" w:eastAsia="仿宋_GB2312" w:cs="仿宋_GB2312"/>
          <w:snapToGrid w:val="0"/>
          <w:color w:val="000000"/>
          <w:kern w:val="0"/>
          <w:sz w:val="26"/>
          <w:szCs w:val="26"/>
        </w:rPr>
        <w:t>抓住国家战略全覆盖的重大机遇，倾力打造北部湾经济区、西江经济带两大核心增长极，带动左右江革命老区加快振兴，促进桂林国际旅游胜地全面升级，形成区域协调发展新格局，使双核成为支撑全区发展的战略引擎。</w:t>
      </w:r>
    </w:p>
    <w:p>
      <w:pPr>
        <w:spacing w:line="456" w:lineRule="exact"/>
        <w:ind w:firstLine="520" w:firstLineChars="200"/>
        <w:textAlignment w:val="baseline"/>
        <w:rPr>
          <w:rFonts w:ascii="宋体" w:hAnsi="宋体" w:eastAsia="仿宋_GB2312" w:cs="仿宋_GB2312"/>
          <w:color w:val="000000"/>
          <w:spacing w:val="-4"/>
          <w:sz w:val="26"/>
          <w:szCs w:val="26"/>
        </w:rPr>
      </w:pPr>
      <w:r>
        <w:rPr>
          <w:rFonts w:hint="eastAsia" w:ascii="宋体" w:hAnsi="宋体" w:eastAsia="楷体_GB2312"/>
          <w:color w:val="000000"/>
          <w:sz w:val="26"/>
          <w:szCs w:val="26"/>
        </w:rPr>
        <w:t>坚持绿色发展。</w:t>
      </w:r>
      <w:r>
        <w:rPr>
          <w:rFonts w:hint="eastAsia" w:ascii="宋体" w:hAnsi="宋体" w:eastAsia="仿宋_GB2312" w:cs="仿宋_GB2312"/>
          <w:color w:val="000000"/>
          <w:spacing w:val="-4"/>
          <w:sz w:val="26"/>
          <w:szCs w:val="26"/>
        </w:rPr>
        <w:t>立足绿色强区、生态惠民，深入推进生态文明建设，大力发展生态经济，形成节约资源和保护环境的空间格局、产业结构和生产方式，走出一条富有广西特色的产业强、百姓富、生态美的绿色转型绿色崛起之路，把绿色优势转化为发展优势。</w:t>
      </w:r>
    </w:p>
    <w:p>
      <w:pPr>
        <w:spacing w:line="456" w:lineRule="exact"/>
        <w:ind w:firstLine="520" w:firstLineChars="200"/>
        <w:rPr>
          <w:rFonts w:ascii="宋体" w:hAnsi="宋体" w:eastAsia="仿宋_GB2312" w:cs="仿宋_GB2312"/>
          <w:snapToGrid w:val="0"/>
          <w:color w:val="000000"/>
          <w:kern w:val="0"/>
          <w:sz w:val="26"/>
          <w:szCs w:val="26"/>
        </w:rPr>
      </w:pPr>
      <w:r>
        <w:rPr>
          <w:rFonts w:hint="eastAsia" w:ascii="宋体" w:hAnsi="宋体" w:eastAsia="楷体_GB2312"/>
          <w:color w:val="000000"/>
          <w:sz w:val="26"/>
          <w:szCs w:val="26"/>
        </w:rPr>
        <w:t>坚持深化改革。</w:t>
      </w:r>
      <w:r>
        <w:rPr>
          <w:rFonts w:hint="eastAsia" w:ascii="宋体" w:hAnsi="宋体" w:eastAsia="仿宋_GB2312" w:cs="仿宋_GB2312"/>
          <w:snapToGrid w:val="0"/>
          <w:color w:val="000000"/>
          <w:kern w:val="0"/>
          <w:sz w:val="26"/>
          <w:szCs w:val="26"/>
        </w:rPr>
        <w:t>持续推进全面深化改革，着力加强供给侧结构性改革，破除体制机制障碍，健全市场在资源配置中起决定性作用和更好发挥政府作用的体制机制，为发展提供持续动力。</w:t>
      </w:r>
    </w:p>
    <w:p>
      <w:pPr>
        <w:spacing w:line="456" w:lineRule="exact"/>
        <w:ind w:firstLine="520" w:firstLineChars="200"/>
        <w:rPr>
          <w:rFonts w:ascii="宋体" w:hAnsi="宋体" w:eastAsia="仿宋_GB2312" w:cs="仿宋_GB2312"/>
          <w:snapToGrid w:val="0"/>
          <w:color w:val="000000"/>
          <w:kern w:val="0"/>
          <w:sz w:val="26"/>
          <w:szCs w:val="26"/>
        </w:rPr>
      </w:pPr>
      <w:r>
        <w:rPr>
          <w:rFonts w:hint="eastAsia" w:ascii="宋体" w:hAnsi="宋体" w:eastAsia="楷体_GB2312"/>
          <w:color w:val="000000"/>
          <w:sz w:val="26"/>
          <w:szCs w:val="26"/>
        </w:rPr>
        <w:t>坚持共享发展</w:t>
      </w:r>
      <w:r>
        <w:rPr>
          <w:rFonts w:hint="eastAsia" w:ascii="宋体" w:hAnsi="宋体" w:eastAsia="仿宋_GB2312" w:cs="仿宋_GB2312"/>
          <w:b/>
          <w:bCs/>
          <w:snapToGrid w:val="0"/>
          <w:color w:val="000000"/>
          <w:kern w:val="0"/>
          <w:sz w:val="26"/>
          <w:szCs w:val="26"/>
        </w:rPr>
        <w:t>。</w:t>
      </w:r>
      <w:r>
        <w:rPr>
          <w:rFonts w:hint="eastAsia" w:ascii="宋体" w:hAnsi="宋体" w:eastAsia="仿宋_GB2312" w:cs="仿宋_GB2312"/>
          <w:snapToGrid w:val="0"/>
          <w:color w:val="000000"/>
          <w:kern w:val="0"/>
          <w:sz w:val="26"/>
          <w:szCs w:val="26"/>
        </w:rPr>
        <w:t>把保障和改善民生作为根本出发点和落脚点，</w:t>
      </w:r>
      <w:r>
        <w:rPr>
          <w:rFonts w:hint="eastAsia" w:ascii="宋体" w:hAnsi="宋体" w:eastAsia="仿宋_GB2312" w:cs="仿宋_GB2312"/>
          <w:color w:val="000000"/>
          <w:sz w:val="26"/>
          <w:szCs w:val="26"/>
        </w:rPr>
        <w:t>举全区之力打赢脱贫攻坚战，</w:t>
      </w:r>
      <w:r>
        <w:rPr>
          <w:rFonts w:hint="eastAsia" w:ascii="宋体" w:hAnsi="宋体" w:eastAsia="仿宋_GB2312" w:cs="仿宋_GB2312"/>
          <w:snapToGrid w:val="0"/>
          <w:color w:val="000000"/>
          <w:kern w:val="0"/>
          <w:sz w:val="26"/>
          <w:szCs w:val="26"/>
        </w:rPr>
        <w:t>提高公共服务共建能力和共享水平，提升广大群众的获得感和幸福感，实现共同富裕。</w:t>
      </w:r>
    </w:p>
    <w:p>
      <w:pPr>
        <w:pStyle w:val="3"/>
        <w:spacing w:beforeLines="50" w:afterLines="50" w:line="460" w:lineRule="exact"/>
        <w:rPr>
          <w:rFonts w:ascii="宋体" w:hAnsi="宋体" w:cs="楷体_GB2312"/>
          <w:b/>
          <w:color w:val="000000"/>
          <w:sz w:val="26"/>
          <w:szCs w:val="26"/>
        </w:rPr>
      </w:pPr>
      <w:bookmarkStart w:id="13" w:name="_Toc422340931"/>
      <w:bookmarkStart w:id="14" w:name="_Toc428544841"/>
      <w:bookmarkStart w:id="15" w:name="_Toc438458584"/>
      <w:bookmarkStart w:id="16" w:name="_Toc437010546"/>
      <w:r>
        <w:rPr>
          <w:rFonts w:hint="eastAsia" w:ascii="宋体" w:hAnsi="宋体" w:cs="楷体_GB2312"/>
          <w:b/>
          <w:color w:val="000000"/>
          <w:sz w:val="26"/>
          <w:szCs w:val="26"/>
        </w:rPr>
        <w:t>第四章  主要目标</w:t>
      </w:r>
      <w:bookmarkEnd w:id="13"/>
      <w:bookmarkEnd w:id="14"/>
      <w:bookmarkEnd w:id="15"/>
      <w:bookmarkEnd w:id="16"/>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围绕“两个建成”总体要求，“十三五”时期经济社会发展要努力实现以下主要目标。</w:t>
      </w:r>
    </w:p>
    <w:p>
      <w:pPr>
        <w:spacing w:line="460" w:lineRule="exact"/>
        <w:ind w:firstLine="520" w:firstLineChars="200"/>
        <w:rPr>
          <w:rFonts w:ascii="宋体" w:hAnsi="宋体" w:eastAsia="仿宋_GB2312"/>
          <w:color w:val="000000"/>
          <w:sz w:val="26"/>
          <w:szCs w:val="26"/>
        </w:rPr>
      </w:pPr>
      <w:r>
        <w:rPr>
          <w:rFonts w:hint="eastAsia" w:ascii="黑体" w:hAnsi="宋体" w:eastAsia="黑体"/>
          <w:color w:val="000000"/>
          <w:sz w:val="26"/>
          <w:szCs w:val="26"/>
        </w:rPr>
        <w:t>——</w:t>
      </w:r>
      <w:r>
        <w:rPr>
          <w:rFonts w:hint="eastAsia" w:ascii="宋体" w:hAnsi="宋体" w:eastAsia="楷体_GB2312"/>
          <w:color w:val="000000"/>
          <w:sz w:val="26"/>
          <w:szCs w:val="26"/>
        </w:rPr>
        <w:t>经济持续较快增长。</w:t>
      </w:r>
      <w:r>
        <w:rPr>
          <w:rFonts w:hint="eastAsia" w:ascii="宋体" w:hAnsi="宋体" w:eastAsia="仿宋_GB2312"/>
          <w:color w:val="000000"/>
          <w:sz w:val="26"/>
          <w:szCs w:val="26"/>
        </w:rPr>
        <w:t>在提高发展平衡性、包容性、可持续性的基础上，地区生产总值年均增长7.5%以上，比2010年翻一番以上。投资效率、企业效益、财政实力明显提高，消费对经济增长贡献加大。</w:t>
      </w:r>
    </w:p>
    <w:p>
      <w:pPr>
        <w:spacing w:line="460" w:lineRule="exact"/>
        <w:ind w:firstLine="520" w:firstLineChars="200"/>
        <w:rPr>
          <w:rFonts w:ascii="宋体" w:hAnsi="宋体" w:eastAsia="仿宋_GB2312" w:cs="仿宋_GB2312"/>
          <w:snapToGrid w:val="0"/>
          <w:color w:val="000000"/>
          <w:kern w:val="0"/>
          <w:sz w:val="26"/>
          <w:szCs w:val="26"/>
        </w:rPr>
      </w:pPr>
      <w:r>
        <w:rPr>
          <w:rFonts w:hint="eastAsia" w:ascii="黑体" w:hAnsi="宋体" w:eastAsia="黑体"/>
          <w:color w:val="000000"/>
          <w:sz w:val="26"/>
          <w:szCs w:val="26"/>
        </w:rPr>
        <w:t>——</w:t>
      </w:r>
      <w:r>
        <w:rPr>
          <w:rFonts w:hint="eastAsia" w:ascii="宋体" w:hAnsi="宋体" w:eastAsia="楷体_GB2312"/>
          <w:color w:val="000000"/>
          <w:sz w:val="26"/>
          <w:szCs w:val="26"/>
        </w:rPr>
        <w:t>转型升级取得重大突破。</w:t>
      </w:r>
      <w:r>
        <w:rPr>
          <w:rFonts w:hint="eastAsia" w:ascii="宋体" w:hAnsi="宋体" w:eastAsia="仿宋_GB2312"/>
          <w:color w:val="000000"/>
          <w:sz w:val="26"/>
          <w:szCs w:val="26"/>
        </w:rPr>
        <w:t>工业化向中高端水平迈进，先进制造业和服务业比重持续提升，农业现代化取得明显进展，</w:t>
      </w:r>
      <w:r>
        <w:rPr>
          <w:rFonts w:hint="eastAsia" w:ascii="宋体" w:hAnsi="宋体" w:eastAsia="仿宋_GB2312" w:cs="仿宋_GB2312"/>
          <w:snapToGrid w:val="0"/>
          <w:color w:val="000000"/>
          <w:kern w:val="0"/>
          <w:sz w:val="26"/>
          <w:szCs w:val="26"/>
        </w:rPr>
        <w:t>城镇人口数量超过农村人口，</w:t>
      </w:r>
      <w:r>
        <w:rPr>
          <w:rFonts w:hint="eastAsia" w:ascii="宋体" w:hAnsi="宋体" w:eastAsia="仿宋_GB2312"/>
          <w:color w:val="000000"/>
          <w:sz w:val="26"/>
          <w:szCs w:val="26"/>
        </w:rPr>
        <w:t>科技进步贡献率大幅提高。</w:t>
      </w:r>
    </w:p>
    <w:p>
      <w:pPr>
        <w:spacing w:line="460" w:lineRule="exact"/>
        <w:ind w:firstLine="520" w:firstLineChars="200"/>
        <w:rPr>
          <w:rFonts w:ascii="宋体" w:hAnsi="宋体" w:eastAsia="仿宋_GB2312"/>
          <w:color w:val="000000"/>
          <w:spacing w:val="4"/>
          <w:sz w:val="26"/>
          <w:szCs w:val="26"/>
        </w:rPr>
      </w:pPr>
      <w:r>
        <w:rPr>
          <w:rFonts w:hint="eastAsia" w:ascii="黑体" w:hAnsi="宋体" w:eastAsia="黑体"/>
          <w:color w:val="000000"/>
          <w:sz w:val="26"/>
          <w:szCs w:val="26"/>
        </w:rPr>
        <w:t>——</w:t>
      </w:r>
      <w:r>
        <w:rPr>
          <w:rFonts w:hint="eastAsia" w:ascii="宋体" w:hAnsi="宋体" w:eastAsia="楷体_GB2312"/>
          <w:color w:val="000000"/>
          <w:sz w:val="26"/>
          <w:szCs w:val="26"/>
        </w:rPr>
        <w:t>人民生活水平和质量普遍提高。</w:t>
      </w:r>
      <w:r>
        <w:rPr>
          <w:rFonts w:hint="eastAsia" w:ascii="宋体" w:hAnsi="宋体" w:eastAsia="仿宋_GB2312"/>
          <w:color w:val="000000"/>
          <w:sz w:val="26"/>
          <w:szCs w:val="26"/>
        </w:rPr>
        <w:t>城乡居民人均收入增长7.5%以上，比2010年翻一番以上，城乡差距缩小。现行标准下农村贫困人口全部脱贫，贫困县、贫困村全部摘帽。就业、教育、医疗、文化、社保、住房等公共服务体系更加健全，基本公共服务均等化水平稳步提高。公民素质和社会文明程度明显提高。</w:t>
      </w:r>
    </w:p>
    <w:p>
      <w:pPr>
        <w:spacing w:line="460" w:lineRule="exact"/>
        <w:ind w:firstLine="520" w:firstLineChars="200"/>
        <w:rPr>
          <w:rFonts w:ascii="宋体" w:hAnsi="宋体" w:eastAsia="仿宋_GB2312"/>
          <w:color w:val="000000"/>
          <w:sz w:val="26"/>
          <w:szCs w:val="26"/>
        </w:rPr>
      </w:pPr>
      <w:r>
        <w:rPr>
          <w:rFonts w:hint="eastAsia" w:ascii="黑体" w:hAnsi="宋体" w:eastAsia="黑体"/>
          <w:color w:val="000000"/>
          <w:sz w:val="26"/>
          <w:szCs w:val="26"/>
        </w:rPr>
        <w:t>——</w:t>
      </w:r>
      <w:r>
        <w:rPr>
          <w:rFonts w:hint="eastAsia" w:ascii="宋体" w:hAnsi="宋体" w:eastAsia="楷体_GB2312"/>
          <w:color w:val="000000"/>
          <w:sz w:val="26"/>
          <w:szCs w:val="26"/>
        </w:rPr>
        <w:t>生态环境质量保持全国前列。</w:t>
      </w:r>
      <w:r>
        <w:rPr>
          <w:rFonts w:hint="eastAsia" w:ascii="宋体" w:hAnsi="宋体" w:eastAsia="仿宋_GB2312"/>
          <w:color w:val="000000"/>
          <w:sz w:val="26"/>
          <w:szCs w:val="26"/>
        </w:rPr>
        <w:t>主体功能区布局和生态安全屏障基本形成。能源资源开发利用效率大幅提高，节能减排降碳实现国家下达的目标，空气、水体、土壤环境质量优良。生态文明制度建立健全，生态经济体系基本建成。</w:t>
      </w:r>
    </w:p>
    <w:p>
      <w:pPr>
        <w:spacing w:line="460" w:lineRule="exact"/>
        <w:ind w:firstLine="520" w:firstLineChars="200"/>
        <w:rPr>
          <w:rFonts w:ascii="宋体" w:hAnsi="宋体" w:eastAsia="仿宋_GB2312" w:cs="仿宋_GB2312"/>
          <w:color w:val="000000"/>
          <w:sz w:val="26"/>
          <w:szCs w:val="26"/>
        </w:rPr>
      </w:pPr>
      <w:r>
        <w:rPr>
          <w:rFonts w:hint="eastAsia" w:ascii="黑体" w:hAnsi="宋体" w:eastAsia="黑体"/>
          <w:color w:val="000000"/>
          <w:sz w:val="26"/>
          <w:szCs w:val="26"/>
        </w:rPr>
        <w:t>——</w:t>
      </w:r>
      <w:r>
        <w:rPr>
          <w:rFonts w:hint="eastAsia" w:ascii="宋体" w:hAnsi="宋体" w:eastAsia="楷体_GB2312"/>
          <w:color w:val="000000"/>
          <w:sz w:val="26"/>
          <w:szCs w:val="26"/>
        </w:rPr>
        <w:t>改革开放全面深化。</w:t>
      </w:r>
      <w:r>
        <w:rPr>
          <w:rFonts w:hint="eastAsia" w:ascii="宋体" w:hAnsi="宋体" w:eastAsia="仿宋_GB2312" w:cs="仿宋_GB2312"/>
          <w:color w:val="000000"/>
          <w:sz w:val="26"/>
          <w:szCs w:val="26"/>
        </w:rPr>
        <w:t>重要领域和关键环节改革取得决定性成果，全面深化改革完成阶段性目标，各方面制度比较成熟。国际通道、战略支点、重要门户基本建成，更高层次的开放型经济体系基本形成。</w:t>
      </w:r>
    </w:p>
    <w:p>
      <w:pPr>
        <w:spacing w:line="460" w:lineRule="exact"/>
        <w:ind w:firstLine="520" w:firstLineChars="200"/>
        <w:textAlignment w:val="baseline"/>
        <w:rPr>
          <w:rFonts w:ascii="宋体" w:hAnsi="宋体" w:eastAsia="仿宋_GB2312" w:cs="仿宋_GB2312"/>
          <w:color w:val="000000"/>
          <w:sz w:val="26"/>
          <w:szCs w:val="26"/>
        </w:rPr>
      </w:pPr>
      <w:r>
        <w:rPr>
          <w:rFonts w:hint="eastAsia" w:ascii="黑体" w:hAnsi="宋体" w:eastAsia="黑体"/>
          <w:color w:val="000000"/>
          <w:sz w:val="26"/>
          <w:szCs w:val="26"/>
        </w:rPr>
        <w:t>——</w:t>
      </w:r>
      <w:r>
        <w:rPr>
          <w:rFonts w:hint="eastAsia" w:ascii="宋体" w:hAnsi="宋体" w:eastAsia="楷体_GB2312"/>
          <w:color w:val="000000"/>
          <w:sz w:val="26"/>
          <w:szCs w:val="26"/>
        </w:rPr>
        <w:t>民主法治健全完善。</w:t>
      </w:r>
      <w:r>
        <w:rPr>
          <w:rFonts w:hint="eastAsia" w:ascii="宋体" w:hAnsi="宋体" w:eastAsia="仿宋_GB2312" w:cs="仿宋_GB2312"/>
          <w:color w:val="000000"/>
          <w:sz w:val="26"/>
          <w:szCs w:val="26"/>
        </w:rPr>
        <w:t>民主制度更加健全，民主形式更加丰富，法治政府基本建成，司法公信力明显提高，社会</w:t>
      </w:r>
      <w:bookmarkStart w:id="17" w:name="_Toc422340932"/>
      <w:r>
        <w:rPr>
          <w:rFonts w:hint="eastAsia" w:ascii="宋体" w:hAnsi="宋体" w:eastAsia="仿宋_GB2312" w:cs="仿宋_GB2312"/>
          <w:color w:val="000000"/>
          <w:sz w:val="26"/>
          <w:szCs w:val="26"/>
        </w:rPr>
        <w:t>治理体系和治理能力现代化取得重大进展。</w:t>
      </w:r>
    </w:p>
    <w:p>
      <w:pPr>
        <w:spacing w:beforeLines="50" w:line="460" w:lineRule="exact"/>
        <w:jc w:val="center"/>
        <w:textAlignment w:val="baseline"/>
        <w:rPr>
          <w:rFonts w:ascii="宋体" w:hAnsi="宋体" w:eastAsia="黑体"/>
          <w:color w:val="000000"/>
          <w:szCs w:val="24"/>
        </w:rPr>
      </w:pPr>
      <w:r>
        <w:rPr>
          <w:rFonts w:hint="eastAsia" w:ascii="黑体" w:hAnsi="宋体" w:eastAsia="黑体"/>
          <w:color w:val="000000"/>
          <w:szCs w:val="24"/>
        </w:rPr>
        <w:t xml:space="preserve">专栏2  </w:t>
      </w:r>
      <w:r>
        <w:rPr>
          <w:rFonts w:hint="eastAsia" w:ascii="宋体" w:hAnsi="宋体" w:eastAsia="黑体"/>
          <w:color w:val="000000"/>
          <w:szCs w:val="24"/>
        </w:rPr>
        <w:t>“十三五”时期经济社会发展主要指标</w:t>
      </w:r>
      <w:bookmarkEnd w:id="17"/>
      <w:bookmarkStart w:id="18" w:name="_Toc428544843"/>
      <w:bookmarkStart w:id="19" w:name="_Toc422340933"/>
    </w:p>
    <w:tbl>
      <w:tblPr>
        <w:tblStyle w:val="21"/>
        <w:tblW w:w="6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369"/>
        <w:gridCol w:w="2631"/>
        <w:gridCol w:w="713"/>
        <w:gridCol w:w="785"/>
        <w:gridCol w:w="655"/>
        <w:gridCol w:w="653"/>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60" w:hRule="atLeast"/>
          <w:tblHeader/>
          <w:jc w:val="center"/>
        </w:trPr>
        <w:tc>
          <w:tcPr>
            <w:tcW w:w="369" w:type="dxa"/>
            <w:vAlign w:val="center"/>
          </w:tcPr>
          <w:p>
            <w:pPr>
              <w:spacing w:line="240" w:lineRule="exact"/>
              <w:jc w:val="center"/>
              <w:rPr>
                <w:rFonts w:ascii="宋体" w:hAnsi="宋体" w:eastAsia="黑体" w:cs="宋体"/>
                <w:color w:val="000000"/>
                <w:kern w:val="0"/>
                <w:sz w:val="16"/>
                <w:szCs w:val="16"/>
              </w:rPr>
            </w:pPr>
          </w:p>
        </w:tc>
        <w:tc>
          <w:tcPr>
            <w:tcW w:w="2631" w:type="dxa"/>
            <w:vAlign w:val="center"/>
          </w:tcPr>
          <w:p>
            <w:pPr>
              <w:spacing w:line="240" w:lineRule="exact"/>
              <w:jc w:val="center"/>
              <w:rPr>
                <w:rFonts w:ascii="宋体" w:hAnsi="宋体" w:eastAsia="黑体" w:cs="宋体"/>
                <w:color w:val="000000"/>
                <w:kern w:val="0"/>
                <w:sz w:val="16"/>
                <w:szCs w:val="16"/>
              </w:rPr>
            </w:pPr>
            <w:r>
              <w:rPr>
                <w:rFonts w:hint="eastAsia" w:ascii="宋体" w:hAnsi="宋体" w:eastAsia="黑体"/>
                <w:color w:val="000000"/>
                <w:kern w:val="0"/>
                <w:sz w:val="16"/>
                <w:szCs w:val="16"/>
              </w:rPr>
              <w:t>指  标</w:t>
            </w:r>
          </w:p>
        </w:tc>
        <w:tc>
          <w:tcPr>
            <w:tcW w:w="713" w:type="dxa"/>
            <w:vAlign w:val="center"/>
          </w:tcPr>
          <w:p>
            <w:pPr>
              <w:spacing w:line="240" w:lineRule="exact"/>
              <w:jc w:val="center"/>
              <w:rPr>
                <w:rFonts w:ascii="宋体" w:hAnsi="宋体" w:eastAsia="黑体" w:cs="宋体"/>
                <w:color w:val="000000"/>
                <w:kern w:val="0"/>
                <w:sz w:val="16"/>
                <w:szCs w:val="16"/>
              </w:rPr>
            </w:pPr>
            <w:r>
              <w:rPr>
                <w:rFonts w:hint="eastAsia" w:ascii="宋体" w:hAnsi="宋体" w:eastAsia="黑体"/>
                <w:color w:val="000000"/>
                <w:kern w:val="0"/>
                <w:sz w:val="16"/>
                <w:szCs w:val="16"/>
              </w:rPr>
              <w:t>2015年预计</w:t>
            </w:r>
          </w:p>
        </w:tc>
        <w:tc>
          <w:tcPr>
            <w:tcW w:w="785" w:type="dxa"/>
            <w:vAlign w:val="center"/>
          </w:tcPr>
          <w:p>
            <w:pPr>
              <w:spacing w:line="240" w:lineRule="exact"/>
              <w:jc w:val="center"/>
              <w:rPr>
                <w:rFonts w:ascii="宋体" w:hAnsi="宋体" w:eastAsia="黑体" w:cs="宋体"/>
                <w:color w:val="000000"/>
                <w:kern w:val="0"/>
                <w:sz w:val="16"/>
                <w:szCs w:val="16"/>
              </w:rPr>
            </w:pPr>
            <w:r>
              <w:rPr>
                <w:rFonts w:hint="eastAsia" w:ascii="宋体" w:hAnsi="宋体" w:eastAsia="黑体"/>
                <w:color w:val="000000"/>
                <w:kern w:val="0"/>
                <w:sz w:val="16"/>
                <w:szCs w:val="16"/>
              </w:rPr>
              <w:t>2020年</w:t>
            </w:r>
          </w:p>
        </w:tc>
        <w:tc>
          <w:tcPr>
            <w:tcW w:w="655" w:type="dxa"/>
            <w:vAlign w:val="center"/>
          </w:tcPr>
          <w:p>
            <w:pPr>
              <w:spacing w:line="24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年均增</w:t>
            </w:r>
          </w:p>
          <w:p>
            <w:pPr>
              <w:spacing w:line="240" w:lineRule="exact"/>
              <w:ind w:right="99" w:rightChars="47"/>
              <w:jc w:val="center"/>
              <w:rPr>
                <w:rFonts w:ascii="宋体" w:hAnsi="宋体" w:eastAsia="黑体"/>
                <w:color w:val="000000"/>
                <w:kern w:val="0"/>
                <w:sz w:val="16"/>
                <w:szCs w:val="16"/>
              </w:rPr>
            </w:pPr>
            <w:r>
              <w:rPr>
                <w:rFonts w:hint="eastAsia" w:ascii="宋体" w:hAnsi="宋体" w:eastAsia="黑体"/>
                <w:color w:val="000000"/>
                <w:kern w:val="0"/>
                <w:sz w:val="16"/>
                <w:szCs w:val="16"/>
              </w:rPr>
              <w:t>长（%）</w:t>
            </w:r>
          </w:p>
        </w:tc>
        <w:tc>
          <w:tcPr>
            <w:tcW w:w="653" w:type="dxa"/>
            <w:vAlign w:val="center"/>
          </w:tcPr>
          <w:p>
            <w:pPr>
              <w:spacing w:line="24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五年</w:t>
            </w:r>
          </w:p>
          <w:p>
            <w:pPr>
              <w:spacing w:line="240" w:lineRule="exact"/>
              <w:jc w:val="center"/>
              <w:rPr>
                <w:rFonts w:ascii="宋体" w:hAnsi="宋体" w:eastAsia="黑体" w:cs="宋体"/>
                <w:color w:val="000000"/>
                <w:kern w:val="0"/>
                <w:sz w:val="16"/>
                <w:szCs w:val="16"/>
              </w:rPr>
            </w:pPr>
            <w:r>
              <w:rPr>
                <w:rFonts w:hint="eastAsia" w:ascii="宋体" w:hAnsi="宋体" w:eastAsia="黑体"/>
                <w:color w:val="000000"/>
                <w:kern w:val="0"/>
                <w:sz w:val="16"/>
                <w:szCs w:val="16"/>
              </w:rPr>
              <w:t>累计</w:t>
            </w:r>
          </w:p>
        </w:tc>
        <w:tc>
          <w:tcPr>
            <w:tcW w:w="715" w:type="dxa"/>
            <w:vAlign w:val="center"/>
          </w:tcPr>
          <w:p>
            <w:pPr>
              <w:spacing w:line="24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指标</w:t>
            </w:r>
          </w:p>
          <w:p>
            <w:pPr>
              <w:spacing w:line="240" w:lineRule="exact"/>
              <w:jc w:val="center"/>
              <w:rPr>
                <w:rFonts w:ascii="宋体" w:hAnsi="宋体" w:eastAsia="黑体"/>
                <w:color w:val="000000"/>
                <w:kern w:val="0"/>
                <w:sz w:val="16"/>
                <w:szCs w:val="16"/>
              </w:rPr>
            </w:pPr>
            <w:r>
              <w:rPr>
                <w:rFonts w:hint="eastAsia" w:ascii="宋体" w:hAnsi="宋体" w:eastAsia="黑体"/>
                <w:color w:val="000000"/>
                <w:kern w:val="0"/>
                <w:sz w:val="16"/>
                <w:szCs w:val="16"/>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经济发展</w:t>
            </w:r>
          </w:p>
        </w:tc>
        <w:tc>
          <w:tcPr>
            <w:tcW w:w="2631" w:type="dxa"/>
            <w:vAlign w:val="center"/>
          </w:tcPr>
          <w:p>
            <w:pPr>
              <w:spacing w:line="240" w:lineRule="exact"/>
              <w:rPr>
                <w:rFonts w:ascii="宋体" w:hAnsi="宋体" w:cs="宋体"/>
                <w:color w:val="000000"/>
                <w:kern w:val="0"/>
                <w:sz w:val="16"/>
                <w:szCs w:val="16"/>
              </w:rPr>
            </w:pPr>
            <w:r>
              <w:rPr>
                <w:rFonts w:hint="eastAsia" w:ascii="宋体" w:hAnsi="宋体"/>
                <w:color w:val="000000"/>
                <w:kern w:val="0"/>
                <w:sz w:val="16"/>
                <w:szCs w:val="16"/>
              </w:rPr>
              <w:t>1.地区生产总值（亿元）</w:t>
            </w:r>
          </w:p>
        </w:tc>
        <w:tc>
          <w:tcPr>
            <w:tcW w:w="71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1</w:t>
            </w:r>
            <w:r>
              <w:rPr>
                <w:rFonts w:hint="eastAsia" w:ascii="宋体" w:hAnsi="宋体"/>
                <w:color w:val="000000"/>
                <w:kern w:val="0"/>
                <w:sz w:val="16"/>
                <w:szCs w:val="16"/>
              </w:rPr>
              <w:t>6803</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24130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≥7.5</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2.人均地区生产总值（元）</w:t>
            </w:r>
          </w:p>
        </w:tc>
        <w:tc>
          <w:tcPr>
            <w:tcW w:w="71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3</w:t>
            </w:r>
            <w:r>
              <w:rPr>
                <w:rFonts w:hint="eastAsia" w:ascii="宋体" w:hAnsi="宋体"/>
                <w:color w:val="000000"/>
                <w:kern w:val="0"/>
                <w:sz w:val="16"/>
                <w:szCs w:val="16"/>
              </w:rPr>
              <w:t>5190</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48000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≥6.4</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3.财政收入（亿元）</w:t>
            </w:r>
          </w:p>
        </w:tc>
        <w:tc>
          <w:tcPr>
            <w:tcW w:w="713" w:type="dxa"/>
            <w:vAlign w:val="center"/>
          </w:tcPr>
          <w:p>
            <w:pPr>
              <w:spacing w:line="240" w:lineRule="exact"/>
              <w:jc w:val="center"/>
              <w:rPr>
                <w:rFonts w:ascii="宋体" w:hAnsi="宋体"/>
                <w:color w:val="000000"/>
                <w:kern w:val="0"/>
                <w:sz w:val="16"/>
                <w:szCs w:val="16"/>
              </w:rPr>
            </w:pPr>
            <w:r>
              <w:rPr>
                <w:rFonts w:ascii="宋体" w:hAnsi="宋体"/>
                <w:color w:val="000000"/>
                <w:kern w:val="0"/>
                <w:sz w:val="16"/>
                <w:szCs w:val="16"/>
              </w:rPr>
              <w:t>23</w:t>
            </w:r>
            <w:r>
              <w:rPr>
                <w:rFonts w:hint="eastAsia" w:ascii="宋体" w:hAnsi="宋体"/>
                <w:color w:val="000000"/>
                <w:kern w:val="0"/>
                <w:sz w:val="16"/>
                <w:szCs w:val="16"/>
              </w:rPr>
              <w:t>33</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3270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4.固定资产投资（万亿元）</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累计6.4</w:t>
            </w:r>
            <w:r>
              <w:rPr>
                <w:rFonts w:ascii="宋体" w:hAnsi="宋体"/>
                <w:color w:val="000000"/>
                <w:kern w:val="0"/>
                <w:sz w:val="16"/>
                <w:szCs w:val="16"/>
              </w:rPr>
              <w:t xml:space="preserve"> </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12</w:t>
            </w: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11</w:t>
            </w: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5.社会消费品零售总额（亿元）</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6348</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9760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6.进出口总额（亿元）</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3190</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5620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12</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7.工业增加值（亿元）</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6338</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9100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7.5</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s="宋体"/>
                <w:color w:val="000000"/>
                <w:kern w:val="0"/>
                <w:sz w:val="16"/>
                <w:szCs w:val="16"/>
              </w:rPr>
            </w:pPr>
            <w:r>
              <w:rPr>
                <w:rFonts w:hint="eastAsia" w:ascii="宋体" w:hAnsi="宋体"/>
                <w:color w:val="000000"/>
                <w:kern w:val="0"/>
                <w:sz w:val="16"/>
                <w:szCs w:val="16"/>
              </w:rPr>
              <w:t>8.服务业增加值比重（%）</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38.9</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42</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3.1</w:t>
            </w: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763"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9.城镇化率：</w:t>
            </w:r>
          </w:p>
          <w:p>
            <w:pPr>
              <w:spacing w:line="240" w:lineRule="exact"/>
              <w:ind w:firstLine="160" w:firstLineChars="100"/>
              <w:rPr>
                <w:rFonts w:ascii="宋体" w:hAnsi="宋体"/>
                <w:color w:val="000000"/>
                <w:kern w:val="0"/>
                <w:sz w:val="16"/>
                <w:szCs w:val="16"/>
              </w:rPr>
            </w:pPr>
            <w:r>
              <w:rPr>
                <w:rFonts w:hint="eastAsia" w:ascii="宋体" w:hAnsi="宋体"/>
                <w:color w:val="000000"/>
                <w:kern w:val="0"/>
                <w:sz w:val="16"/>
                <w:szCs w:val="16"/>
              </w:rPr>
              <w:t>常住人口城镇化率（%）</w:t>
            </w:r>
          </w:p>
          <w:p>
            <w:pPr>
              <w:spacing w:line="240" w:lineRule="exact"/>
              <w:ind w:firstLine="160" w:firstLineChars="100"/>
              <w:rPr>
                <w:rFonts w:ascii="宋体" w:hAnsi="宋体" w:cs="宋体"/>
                <w:color w:val="000000"/>
                <w:kern w:val="0"/>
                <w:sz w:val="16"/>
                <w:szCs w:val="16"/>
              </w:rPr>
            </w:pPr>
            <w:r>
              <w:rPr>
                <w:rFonts w:hint="eastAsia" w:ascii="宋体" w:hAnsi="宋体"/>
                <w:color w:val="000000"/>
                <w:kern w:val="0"/>
                <w:sz w:val="16"/>
                <w:szCs w:val="16"/>
              </w:rPr>
              <w:t>户籍人口城镇化率（%）</w:t>
            </w:r>
          </w:p>
        </w:tc>
        <w:tc>
          <w:tcPr>
            <w:tcW w:w="713"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47.06</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32.4</w:t>
            </w:r>
          </w:p>
        </w:tc>
        <w:tc>
          <w:tcPr>
            <w:tcW w:w="785"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54</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40</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6.94</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7.6</w:t>
            </w:r>
          </w:p>
        </w:tc>
        <w:tc>
          <w:tcPr>
            <w:tcW w:w="715"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60"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10.全员劳动生产率（万元/人）</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8.5</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7.2</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57" w:hRule="atLeast"/>
          <w:jc w:val="center"/>
        </w:trPr>
        <w:tc>
          <w:tcPr>
            <w:tcW w:w="369" w:type="dxa"/>
            <w:vMerge w:val="restart"/>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创新驱动</w:t>
            </w:r>
          </w:p>
        </w:tc>
        <w:tc>
          <w:tcPr>
            <w:tcW w:w="2631" w:type="dxa"/>
            <w:vAlign w:val="center"/>
          </w:tcPr>
          <w:p>
            <w:pPr>
              <w:spacing w:line="240" w:lineRule="exact"/>
              <w:ind w:left="240" w:hanging="240" w:hangingChars="150"/>
              <w:rPr>
                <w:rFonts w:ascii="宋体" w:hAnsi="宋体" w:cs="宋体"/>
                <w:color w:val="000000"/>
                <w:kern w:val="0"/>
                <w:sz w:val="16"/>
                <w:szCs w:val="16"/>
              </w:rPr>
            </w:pPr>
            <w:r>
              <w:rPr>
                <w:rFonts w:hint="eastAsia" w:ascii="宋体" w:hAnsi="宋体"/>
                <w:color w:val="000000"/>
                <w:kern w:val="0"/>
                <w:sz w:val="16"/>
                <w:szCs w:val="16"/>
              </w:rPr>
              <w:t>11.研究与试验发展经费支出占地区生产总值比重（%）</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0.74</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r>
              <w:rPr>
                <w:rFonts w:hint="eastAsia" w:ascii="宋体" w:hAnsi="宋体"/>
                <w:color w:val="000000"/>
                <w:kern w:val="0"/>
                <w:sz w:val="16"/>
                <w:szCs w:val="16"/>
              </w:rPr>
              <w:t>1.26</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rPr>
                <w:rFonts w:ascii="宋体" w:hAnsi="宋体"/>
                <w:color w:val="000000"/>
                <w:kern w:val="0"/>
                <w:sz w:val="16"/>
                <w:szCs w:val="16"/>
              </w:rPr>
            </w:pPr>
          </w:p>
        </w:tc>
        <w:tc>
          <w:tcPr>
            <w:tcW w:w="2631" w:type="dxa"/>
            <w:vAlign w:val="center"/>
          </w:tcPr>
          <w:p>
            <w:pPr>
              <w:spacing w:line="240" w:lineRule="exact"/>
              <w:rPr>
                <w:rFonts w:ascii="宋体" w:hAnsi="宋体" w:cs="宋体"/>
                <w:color w:val="000000"/>
                <w:kern w:val="0"/>
                <w:sz w:val="16"/>
                <w:szCs w:val="16"/>
              </w:rPr>
            </w:pPr>
            <w:r>
              <w:rPr>
                <w:rFonts w:hint="eastAsia" w:ascii="宋体" w:hAnsi="宋体"/>
                <w:color w:val="000000"/>
                <w:kern w:val="0"/>
                <w:sz w:val="16"/>
                <w:szCs w:val="16"/>
              </w:rPr>
              <w:t>12.每万人口发明专利拥有量（件）</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24.6</w:t>
            </w:r>
          </w:p>
        </w:tc>
        <w:tc>
          <w:tcPr>
            <w:tcW w:w="653" w:type="dxa"/>
            <w:vAlign w:val="center"/>
          </w:tcPr>
          <w:p>
            <w:pPr>
              <w:spacing w:line="240" w:lineRule="exact"/>
              <w:jc w:val="center"/>
              <w:rPr>
                <w:rFonts w:ascii="宋体" w:hAnsi="宋体" w:cs="宋体"/>
                <w:color w:val="000000"/>
                <w:kern w:val="0"/>
                <w:sz w:val="16"/>
                <w:szCs w:val="16"/>
              </w:rPr>
            </w:pP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13.科技进步贡献率（%）</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48</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55</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7</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rPr>
                <w:rFonts w:ascii="宋体" w:hAnsi="宋体"/>
                <w:color w:val="000000"/>
                <w:kern w:val="0"/>
                <w:sz w:val="16"/>
                <w:szCs w:val="16"/>
              </w:rPr>
            </w:pPr>
          </w:p>
        </w:tc>
        <w:tc>
          <w:tcPr>
            <w:tcW w:w="2631" w:type="dxa"/>
            <w:vAlign w:val="center"/>
          </w:tcPr>
          <w:p>
            <w:pPr>
              <w:spacing w:line="240" w:lineRule="exact"/>
              <w:rPr>
                <w:rFonts w:ascii="宋体" w:hAnsi="宋体" w:cs="宋体"/>
                <w:color w:val="000000"/>
                <w:kern w:val="0"/>
                <w:sz w:val="16"/>
                <w:szCs w:val="16"/>
              </w:rPr>
            </w:pPr>
            <w:r>
              <w:rPr>
                <w:rFonts w:hint="eastAsia" w:ascii="宋体" w:hAnsi="宋体" w:cs="宋体"/>
                <w:color w:val="000000"/>
                <w:kern w:val="0"/>
                <w:sz w:val="16"/>
                <w:szCs w:val="16"/>
              </w:rPr>
              <w:t>14.互联网普及率：</w:t>
            </w:r>
          </w:p>
          <w:p>
            <w:pPr>
              <w:spacing w:line="240" w:lineRule="exact"/>
              <w:rPr>
                <w:rFonts w:ascii="宋体" w:hAnsi="宋体" w:cs="宋体"/>
                <w:color w:val="000000"/>
                <w:kern w:val="0"/>
                <w:sz w:val="16"/>
                <w:szCs w:val="16"/>
              </w:rPr>
            </w:pPr>
            <w:r>
              <w:rPr>
                <w:rFonts w:hint="eastAsia" w:ascii="宋体" w:hAnsi="宋体" w:cs="宋体"/>
                <w:color w:val="000000"/>
                <w:kern w:val="0"/>
                <w:sz w:val="16"/>
                <w:szCs w:val="16"/>
              </w:rPr>
              <w:t xml:space="preserve">   固定宽带家庭普及率（%）</w:t>
            </w:r>
          </w:p>
          <w:p>
            <w:pPr>
              <w:spacing w:line="240" w:lineRule="exact"/>
              <w:rPr>
                <w:rFonts w:ascii="宋体" w:hAnsi="宋体" w:cs="宋体"/>
                <w:color w:val="000000"/>
                <w:kern w:val="0"/>
                <w:sz w:val="16"/>
                <w:szCs w:val="16"/>
              </w:rPr>
            </w:pPr>
            <w:r>
              <w:rPr>
                <w:rFonts w:hint="eastAsia" w:ascii="宋体" w:hAnsi="宋体" w:cs="宋体"/>
                <w:color w:val="000000"/>
                <w:kern w:val="0"/>
                <w:sz w:val="16"/>
                <w:szCs w:val="16"/>
              </w:rPr>
              <w:t xml:space="preserve">   移动宽带用户普及率（%）</w:t>
            </w:r>
          </w:p>
        </w:tc>
        <w:tc>
          <w:tcPr>
            <w:tcW w:w="713"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52</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47.1</w:t>
            </w:r>
          </w:p>
        </w:tc>
        <w:tc>
          <w:tcPr>
            <w:tcW w:w="785"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75</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70</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p>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23</w:t>
            </w:r>
          </w:p>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22.9</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民生福祉</w:t>
            </w:r>
          </w:p>
        </w:tc>
        <w:tc>
          <w:tcPr>
            <w:tcW w:w="2631" w:type="dxa"/>
            <w:vAlign w:val="center"/>
          </w:tcPr>
          <w:p>
            <w:pPr>
              <w:spacing w:line="240" w:lineRule="exact"/>
              <w:rPr>
                <w:rFonts w:ascii="宋体" w:hAnsi="宋体" w:cs="宋体"/>
                <w:color w:val="000000"/>
                <w:kern w:val="0"/>
                <w:sz w:val="16"/>
                <w:szCs w:val="16"/>
              </w:rPr>
            </w:pPr>
            <w:r>
              <w:rPr>
                <w:rFonts w:hint="eastAsia" w:ascii="宋体" w:hAnsi="宋体"/>
                <w:color w:val="000000"/>
                <w:kern w:val="0"/>
                <w:sz w:val="16"/>
                <w:szCs w:val="16"/>
              </w:rPr>
              <w:t>15.常住人口（万人）</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4796</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5030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9.6‰</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16.居民人均可支配收入（元）</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16873</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24300</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≥7.5</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s="宋体"/>
                <w:color w:val="000000"/>
                <w:kern w:val="0"/>
                <w:sz w:val="16"/>
                <w:szCs w:val="16"/>
              </w:rPr>
            </w:pPr>
            <w:r>
              <w:rPr>
                <w:rFonts w:hint="eastAsia" w:ascii="宋体" w:hAnsi="宋体"/>
                <w:color w:val="000000"/>
                <w:kern w:val="0"/>
                <w:sz w:val="16"/>
                <w:szCs w:val="16"/>
              </w:rPr>
              <w:t>17.劳动年龄人口平均受教育年限(年）</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8.6</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10</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1.4</w:t>
            </w: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18.城镇新增就业人数（万人）</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175</w:t>
            </w: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s="宋体"/>
                <w:color w:val="000000"/>
                <w:kern w:val="0"/>
                <w:sz w:val="16"/>
                <w:szCs w:val="16"/>
              </w:rPr>
            </w:pPr>
            <w:r>
              <w:rPr>
                <w:rFonts w:hint="eastAsia" w:ascii="宋体" w:hAnsi="宋体"/>
                <w:color w:val="000000"/>
                <w:kern w:val="0"/>
                <w:sz w:val="16"/>
                <w:szCs w:val="16"/>
              </w:rPr>
              <w:t>19.农村贫困人口脱贫（万人）</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453</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20.基本养老保险参保率（%）</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80</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≥90</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10</w:t>
            </w: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ind w:left="160" w:hanging="160" w:hangingChars="100"/>
              <w:rPr>
                <w:rFonts w:ascii="宋体" w:hAnsi="宋体" w:cs="宋体"/>
                <w:color w:val="000000"/>
                <w:kern w:val="0"/>
                <w:sz w:val="16"/>
                <w:szCs w:val="16"/>
              </w:rPr>
            </w:pPr>
            <w:r>
              <w:rPr>
                <w:rFonts w:hint="eastAsia" w:ascii="宋体" w:hAnsi="宋体"/>
                <w:color w:val="000000"/>
                <w:kern w:val="0"/>
                <w:sz w:val="16"/>
                <w:szCs w:val="16"/>
              </w:rPr>
              <w:t>21.城镇保障性住房建设和棚户区改造（万套)</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45</w:t>
            </w: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80" w:lineRule="exact"/>
              <w:rPr>
                <w:rFonts w:ascii="宋体" w:hAnsi="宋体" w:cs="宋体"/>
                <w:color w:val="000000"/>
                <w:spacing w:val="-8"/>
                <w:kern w:val="0"/>
                <w:sz w:val="16"/>
                <w:szCs w:val="16"/>
              </w:rPr>
            </w:pPr>
            <w:r>
              <w:rPr>
                <w:rFonts w:hint="eastAsia" w:ascii="宋体" w:hAnsi="宋体" w:cs="宋体"/>
                <w:color w:val="000000"/>
                <w:spacing w:val="-8"/>
                <w:kern w:val="0"/>
                <w:sz w:val="16"/>
                <w:szCs w:val="16"/>
              </w:rPr>
              <w:t>22.每千人口执业（助理）医师数（人）</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1.9</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2.3</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3.9</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23.每千名老人养老床位数（张）</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20.61</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35</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11.2</w:t>
            </w: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24.人均预期寿命（岁）</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76</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77</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w:t>
            </w: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restart"/>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生态文明</w:t>
            </w:r>
          </w:p>
        </w:tc>
        <w:tc>
          <w:tcPr>
            <w:tcW w:w="2631" w:type="dxa"/>
            <w:vAlign w:val="center"/>
          </w:tcPr>
          <w:p>
            <w:pPr>
              <w:spacing w:line="240" w:lineRule="exact"/>
              <w:rPr>
                <w:rFonts w:ascii="宋体" w:hAnsi="宋体" w:cs="宋体"/>
                <w:color w:val="000000"/>
                <w:kern w:val="0"/>
                <w:sz w:val="16"/>
                <w:szCs w:val="16"/>
              </w:rPr>
            </w:pPr>
            <w:r>
              <w:rPr>
                <w:rFonts w:hint="eastAsia" w:ascii="宋体" w:hAnsi="宋体"/>
                <w:color w:val="000000"/>
                <w:kern w:val="0"/>
                <w:sz w:val="16"/>
                <w:szCs w:val="16"/>
              </w:rPr>
              <w:t>25.耕地保有量（万亩）</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6613</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6544</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减少69</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26.新增建设用地规模（万公顷）</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r>
              <w:rPr>
                <w:rFonts w:hint="eastAsia" w:ascii="宋体" w:hAnsi="宋体"/>
                <w:color w:val="000000"/>
                <w:kern w:val="0"/>
                <w:sz w:val="16"/>
                <w:szCs w:val="16"/>
              </w:rPr>
              <w:t>10</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27.万元生产总值用水量（吨）</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179</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128</w:t>
            </w:r>
          </w:p>
        </w:tc>
        <w:tc>
          <w:tcPr>
            <w:tcW w:w="65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下降6</w:t>
            </w:r>
          </w:p>
        </w:tc>
        <w:tc>
          <w:tcPr>
            <w:tcW w:w="653" w:type="dxa"/>
            <w:vAlign w:val="center"/>
          </w:tcPr>
          <w:p>
            <w:pPr>
              <w:spacing w:line="240" w:lineRule="exact"/>
              <w:jc w:val="center"/>
              <w:rPr>
                <w:rFonts w:ascii="宋体" w:hAnsi="宋体" w:cs="宋体"/>
                <w:color w:val="000000"/>
                <w:kern w:val="0"/>
                <w:sz w:val="16"/>
                <w:szCs w:val="16"/>
              </w:rPr>
            </w:pP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s="宋体"/>
                <w:color w:val="000000"/>
                <w:kern w:val="0"/>
                <w:sz w:val="16"/>
                <w:szCs w:val="16"/>
              </w:rPr>
            </w:pPr>
            <w:r>
              <w:rPr>
                <w:rFonts w:hint="eastAsia" w:ascii="宋体" w:hAnsi="宋体" w:cs="宋体"/>
                <w:color w:val="000000"/>
                <w:kern w:val="0"/>
                <w:sz w:val="16"/>
                <w:szCs w:val="16"/>
              </w:rPr>
              <w:t>28.单位生产总值能源消耗降低（%）</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spacing w:val="1"/>
                <w:w w:val="100"/>
                <w:kern w:val="0"/>
                <w:sz w:val="16"/>
                <w:szCs w:val="16"/>
                <w:fitText w:val="648" w:id="1007436802"/>
              </w:rPr>
              <w:t>完成目标</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国家下达</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12"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spacing w:val="-6"/>
                <w:kern w:val="0"/>
                <w:sz w:val="16"/>
                <w:szCs w:val="16"/>
              </w:rPr>
            </w:pPr>
            <w:r>
              <w:rPr>
                <w:rFonts w:hint="eastAsia" w:ascii="宋体" w:hAnsi="宋体"/>
                <w:color w:val="000000"/>
                <w:spacing w:val="-6"/>
                <w:kern w:val="0"/>
                <w:sz w:val="16"/>
                <w:szCs w:val="16"/>
              </w:rPr>
              <w:t>29.非化石能源占一次能源消费比重（%）</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25</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21</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s="宋体"/>
                <w:color w:val="000000"/>
                <w:spacing w:val="-6"/>
                <w:kern w:val="0"/>
                <w:sz w:val="16"/>
                <w:szCs w:val="16"/>
              </w:rPr>
            </w:pPr>
            <w:r>
              <w:rPr>
                <w:rFonts w:hint="eastAsia" w:ascii="宋体" w:hAnsi="宋体"/>
                <w:color w:val="000000"/>
                <w:spacing w:val="-6"/>
                <w:kern w:val="0"/>
                <w:sz w:val="16"/>
                <w:szCs w:val="16"/>
              </w:rPr>
              <w:t>30.单位生产总值二氧化碳排放量降低（%）</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spacing w:val="1"/>
                <w:w w:val="100"/>
                <w:kern w:val="0"/>
                <w:sz w:val="16"/>
                <w:szCs w:val="16"/>
                <w:fitText w:val="648" w:id="1007436803"/>
              </w:rPr>
              <w:t>完成目标</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国家下达</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778"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31.森林增长：</w:t>
            </w:r>
          </w:p>
          <w:p>
            <w:pPr>
              <w:spacing w:line="240" w:lineRule="exact"/>
              <w:ind w:firstLine="240" w:firstLineChars="150"/>
              <w:rPr>
                <w:rFonts w:ascii="宋体" w:hAnsi="宋体"/>
                <w:color w:val="000000"/>
                <w:kern w:val="0"/>
                <w:sz w:val="16"/>
                <w:szCs w:val="16"/>
              </w:rPr>
            </w:pPr>
            <w:r>
              <w:rPr>
                <w:rFonts w:hint="eastAsia" w:ascii="宋体" w:hAnsi="宋体"/>
                <w:color w:val="000000"/>
                <w:kern w:val="0"/>
                <w:sz w:val="16"/>
                <w:szCs w:val="16"/>
              </w:rPr>
              <w:t>森林覆盖率（%）</w:t>
            </w:r>
          </w:p>
          <w:p>
            <w:pPr>
              <w:spacing w:line="240" w:lineRule="exact"/>
              <w:ind w:firstLine="240" w:firstLineChars="150"/>
              <w:rPr>
                <w:rFonts w:ascii="宋体" w:hAnsi="宋体" w:cs="宋体"/>
                <w:color w:val="000000"/>
                <w:kern w:val="0"/>
                <w:sz w:val="16"/>
                <w:szCs w:val="16"/>
              </w:rPr>
            </w:pPr>
            <w:r>
              <w:rPr>
                <w:rFonts w:hint="eastAsia" w:ascii="宋体" w:hAnsi="宋体"/>
                <w:color w:val="000000"/>
                <w:kern w:val="0"/>
                <w:sz w:val="16"/>
                <w:szCs w:val="16"/>
              </w:rPr>
              <w:t>森林蓄积量（亿立方米）</w:t>
            </w:r>
          </w:p>
        </w:tc>
        <w:tc>
          <w:tcPr>
            <w:tcW w:w="713"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62.2</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7.4</w:t>
            </w:r>
          </w:p>
        </w:tc>
        <w:tc>
          <w:tcPr>
            <w:tcW w:w="785"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62.5</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8</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0.3</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0.6</w:t>
            </w:r>
          </w:p>
        </w:tc>
        <w:tc>
          <w:tcPr>
            <w:tcW w:w="715" w:type="dxa"/>
            <w:vAlign w:val="center"/>
          </w:tcPr>
          <w:p>
            <w:pPr>
              <w:spacing w:line="240" w:lineRule="exact"/>
              <w:jc w:val="center"/>
              <w:rPr>
                <w:rFonts w:ascii="宋体" w:hAnsi="宋体" w:cs="宋体"/>
                <w:color w:val="000000"/>
                <w:kern w:val="0"/>
                <w:sz w:val="16"/>
                <w:szCs w:val="16"/>
              </w:rPr>
            </w:pPr>
          </w:p>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p>
            <w:pPr>
              <w:spacing w:line="240" w:lineRule="exact"/>
              <w:jc w:val="center"/>
              <w:rPr>
                <w:rFonts w:ascii="宋体" w:hAnsi="宋体"/>
                <w:color w:val="00000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32.设区城市空气质量优良天数比例（%）</w:t>
            </w:r>
          </w:p>
          <w:p>
            <w:pPr>
              <w:spacing w:line="240" w:lineRule="exact"/>
              <w:rPr>
                <w:rFonts w:ascii="宋体" w:hAnsi="宋体"/>
                <w:color w:val="000000"/>
                <w:kern w:val="0"/>
                <w:sz w:val="16"/>
                <w:szCs w:val="16"/>
              </w:rPr>
            </w:pPr>
            <w:r>
              <w:rPr>
                <w:rFonts w:hint="eastAsia" w:ascii="宋体" w:hAnsi="宋体"/>
                <w:color w:val="000000"/>
                <w:kern w:val="0"/>
                <w:sz w:val="16"/>
                <w:szCs w:val="16"/>
              </w:rPr>
              <w:t xml:space="preserve">   其中：PM2.5浓度下降（%）</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88.5</w:t>
            </w:r>
          </w:p>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≥90</w:t>
            </w:r>
          </w:p>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w:t>
            </w:r>
          </w:p>
        </w:tc>
        <w:tc>
          <w:tcPr>
            <w:tcW w:w="655" w:type="dxa"/>
            <w:vAlign w:val="center"/>
          </w:tcPr>
          <w:p>
            <w:pPr>
              <w:spacing w:line="240" w:lineRule="exact"/>
              <w:jc w:val="center"/>
              <w:rPr>
                <w:rFonts w:ascii="宋体" w:hAnsi="宋体" w:cs="宋体"/>
                <w:color w:val="000000"/>
                <w:kern w:val="0"/>
                <w:sz w:val="16"/>
                <w:szCs w:val="16"/>
              </w:rPr>
            </w:pPr>
          </w:p>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≥1.5</w:t>
            </w:r>
          </w:p>
          <w:p>
            <w:pPr>
              <w:spacing w:line="240" w:lineRule="exact"/>
              <w:jc w:val="center"/>
              <w:rPr>
                <w:rFonts w:ascii="宋体" w:hAnsi="宋体"/>
                <w:color w:val="000000"/>
                <w:kern w:val="0"/>
                <w:sz w:val="16"/>
                <w:szCs w:val="16"/>
              </w:rPr>
            </w:pPr>
          </w:p>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14.6</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s="宋体"/>
                <w:color w:val="000000"/>
                <w:kern w:val="0"/>
                <w:sz w:val="16"/>
                <w:szCs w:val="16"/>
              </w:rPr>
            </w:pPr>
            <w:r>
              <w:rPr>
                <w:rFonts w:hint="eastAsia" w:ascii="宋体" w:hAnsi="宋体" w:cs="宋体"/>
                <w:color w:val="000000"/>
                <w:kern w:val="0"/>
                <w:sz w:val="16"/>
                <w:szCs w:val="16"/>
              </w:rPr>
              <w:t>33.地表水质量：</w:t>
            </w:r>
          </w:p>
          <w:p>
            <w:pPr>
              <w:spacing w:line="240" w:lineRule="exact"/>
              <w:rPr>
                <w:rFonts w:ascii="宋体" w:hAnsi="宋体"/>
                <w:color w:val="000000"/>
                <w:kern w:val="0"/>
                <w:sz w:val="16"/>
                <w:szCs w:val="16"/>
              </w:rPr>
            </w:pPr>
            <w:r>
              <w:rPr>
                <w:rFonts w:hint="eastAsia" w:ascii="宋体" w:hAnsi="宋体" w:cs="宋体"/>
                <w:color w:val="000000"/>
                <w:kern w:val="0"/>
                <w:sz w:val="16"/>
                <w:szCs w:val="16"/>
              </w:rPr>
              <w:t xml:space="preserve">   达到或好于Ⅲ类水体比例</w:t>
            </w:r>
            <w:r>
              <w:rPr>
                <w:rFonts w:hint="eastAsia" w:ascii="宋体" w:hAnsi="宋体"/>
                <w:color w:val="000000"/>
                <w:kern w:val="0"/>
                <w:sz w:val="16"/>
                <w:szCs w:val="16"/>
              </w:rPr>
              <w:t>（%）</w:t>
            </w:r>
          </w:p>
          <w:p>
            <w:pPr>
              <w:spacing w:line="240" w:lineRule="exact"/>
              <w:rPr>
                <w:rFonts w:ascii="宋体" w:hAnsi="宋体" w:cs="宋体"/>
                <w:color w:val="000000"/>
                <w:kern w:val="0"/>
                <w:sz w:val="16"/>
                <w:szCs w:val="16"/>
              </w:rPr>
            </w:pPr>
            <w:r>
              <w:rPr>
                <w:rFonts w:hint="eastAsia" w:ascii="宋体" w:hAnsi="宋体"/>
                <w:color w:val="000000"/>
                <w:kern w:val="0"/>
                <w:sz w:val="16"/>
                <w:szCs w:val="16"/>
              </w:rPr>
              <w:t xml:space="preserve">   </w:t>
            </w:r>
            <w:r>
              <w:rPr>
                <w:rFonts w:hint="eastAsia" w:ascii="宋体" w:hAnsi="宋体" w:cs="宋体"/>
                <w:color w:val="000000"/>
                <w:kern w:val="0"/>
                <w:sz w:val="16"/>
                <w:szCs w:val="16"/>
              </w:rPr>
              <w:t>劣Ⅴ类水体比例（%）</w:t>
            </w:r>
          </w:p>
        </w:tc>
        <w:tc>
          <w:tcPr>
            <w:tcW w:w="713"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96.15</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3.3</w:t>
            </w:r>
          </w:p>
        </w:tc>
        <w:tc>
          <w:tcPr>
            <w:tcW w:w="785" w:type="dxa"/>
            <w:vAlign w:val="center"/>
          </w:tcPr>
          <w:p>
            <w:pPr>
              <w:spacing w:line="240" w:lineRule="exact"/>
              <w:jc w:val="center"/>
              <w:rPr>
                <w:rFonts w:ascii="宋体" w:hAnsi="宋体"/>
                <w:color w:val="000000"/>
                <w:kern w:val="0"/>
                <w:sz w:val="16"/>
                <w:szCs w:val="16"/>
              </w:rPr>
            </w:pP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≥96</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0</w:t>
            </w:r>
          </w:p>
        </w:tc>
        <w:tc>
          <w:tcPr>
            <w:tcW w:w="655" w:type="dxa"/>
            <w:vAlign w:val="center"/>
          </w:tcPr>
          <w:p>
            <w:pPr>
              <w:spacing w:line="240" w:lineRule="exact"/>
              <w:jc w:val="center"/>
              <w:rPr>
                <w:rFonts w:ascii="宋体" w:hAnsi="宋体" w:cs="宋体"/>
                <w:color w:val="000000"/>
                <w:kern w:val="0"/>
                <w:sz w:val="16"/>
                <w:szCs w:val="16"/>
              </w:rPr>
            </w:pPr>
          </w:p>
        </w:tc>
        <w:tc>
          <w:tcPr>
            <w:tcW w:w="653" w:type="dxa"/>
            <w:vAlign w:val="center"/>
          </w:tcPr>
          <w:p>
            <w:pPr>
              <w:spacing w:line="240" w:lineRule="exact"/>
              <w:jc w:val="center"/>
              <w:rPr>
                <w:rFonts w:ascii="宋体" w:hAnsi="宋体" w:cs="宋体"/>
                <w:color w:val="000000"/>
                <w:kern w:val="0"/>
                <w:sz w:val="16"/>
                <w:szCs w:val="16"/>
              </w:rPr>
            </w:pPr>
          </w:p>
          <w:p>
            <w:pPr>
              <w:spacing w:line="240" w:lineRule="exact"/>
              <w:jc w:val="center"/>
              <w:rPr>
                <w:rFonts w:ascii="宋体" w:hAnsi="宋体" w:cs="宋体"/>
                <w:color w:val="000000"/>
                <w:kern w:val="0"/>
                <w:sz w:val="16"/>
                <w:szCs w:val="16"/>
              </w:rPr>
            </w:pPr>
          </w:p>
          <w:p>
            <w:pPr>
              <w:spacing w:line="240" w:lineRule="exact"/>
              <w:jc w:val="center"/>
              <w:rPr>
                <w:rFonts w:ascii="宋体" w:hAnsi="宋体" w:cs="宋体"/>
                <w:color w:val="000000"/>
                <w:spacing w:val="-6"/>
                <w:kern w:val="0"/>
                <w:sz w:val="16"/>
                <w:szCs w:val="16"/>
              </w:rPr>
            </w:pPr>
            <w:r>
              <w:rPr>
                <w:rFonts w:hint="eastAsia" w:ascii="宋体" w:hAnsi="宋体" w:cs="宋体"/>
                <w:color w:val="000000"/>
                <w:spacing w:val="-6"/>
                <w:kern w:val="0"/>
                <w:sz w:val="16"/>
                <w:szCs w:val="16"/>
              </w:rPr>
              <w:t>降低3.3</w:t>
            </w:r>
          </w:p>
        </w:tc>
        <w:tc>
          <w:tcPr>
            <w:tcW w:w="715" w:type="dxa"/>
            <w:vAlign w:val="center"/>
          </w:tcPr>
          <w:p>
            <w:pPr>
              <w:spacing w:line="240" w:lineRule="exact"/>
              <w:jc w:val="center"/>
              <w:rPr>
                <w:rFonts w:ascii="宋体" w:hAnsi="宋体" w:cs="宋体"/>
                <w:color w:val="000000"/>
                <w:kern w:val="0"/>
                <w:sz w:val="16"/>
                <w:szCs w:val="16"/>
              </w:rPr>
            </w:pPr>
            <w:r>
              <w:rPr>
                <w:rFonts w:hint="eastAsia" w:ascii="宋体" w:hAnsi="宋体" w:cs="宋体"/>
                <w:color w:val="000000"/>
                <w:kern w:val="0"/>
                <w:sz w:val="16"/>
                <w:szCs w:val="16"/>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240" w:hRule="atLeast"/>
          <w:jc w:val="center"/>
        </w:trPr>
        <w:tc>
          <w:tcPr>
            <w:tcW w:w="369" w:type="dxa"/>
            <w:vMerge w:val="continue"/>
            <w:vAlign w:val="center"/>
          </w:tcPr>
          <w:p>
            <w:pPr>
              <w:spacing w:line="240" w:lineRule="exact"/>
              <w:jc w:val="center"/>
              <w:rPr>
                <w:rFonts w:ascii="宋体" w:hAnsi="宋体"/>
                <w:color w:val="000000"/>
                <w:kern w:val="0"/>
                <w:sz w:val="16"/>
                <w:szCs w:val="16"/>
              </w:rPr>
            </w:pPr>
          </w:p>
        </w:tc>
        <w:tc>
          <w:tcPr>
            <w:tcW w:w="2631" w:type="dxa"/>
            <w:vAlign w:val="center"/>
          </w:tcPr>
          <w:p>
            <w:pPr>
              <w:spacing w:line="240" w:lineRule="exact"/>
              <w:rPr>
                <w:rFonts w:ascii="宋体" w:hAnsi="宋体"/>
                <w:color w:val="000000"/>
                <w:kern w:val="0"/>
                <w:sz w:val="16"/>
                <w:szCs w:val="16"/>
              </w:rPr>
            </w:pPr>
            <w:r>
              <w:rPr>
                <w:rFonts w:hint="eastAsia" w:ascii="宋体" w:hAnsi="宋体"/>
                <w:color w:val="000000"/>
                <w:kern w:val="0"/>
                <w:sz w:val="16"/>
                <w:szCs w:val="16"/>
              </w:rPr>
              <w:t>34.主要污染物排放量降低（%）</w:t>
            </w:r>
          </w:p>
          <w:p>
            <w:pPr>
              <w:spacing w:line="240" w:lineRule="exact"/>
              <w:rPr>
                <w:rFonts w:ascii="宋体" w:hAnsi="宋体"/>
                <w:color w:val="000000"/>
                <w:kern w:val="0"/>
                <w:sz w:val="16"/>
                <w:szCs w:val="16"/>
              </w:rPr>
            </w:pPr>
            <w:r>
              <w:rPr>
                <w:rFonts w:hint="eastAsia" w:ascii="宋体" w:hAnsi="宋体"/>
                <w:color w:val="000000"/>
                <w:kern w:val="0"/>
                <w:sz w:val="16"/>
                <w:szCs w:val="16"/>
              </w:rPr>
              <w:t xml:space="preserve">   其中：化学需氧量（%）</w:t>
            </w:r>
          </w:p>
          <w:p>
            <w:pPr>
              <w:spacing w:line="240" w:lineRule="exact"/>
              <w:rPr>
                <w:rFonts w:ascii="宋体" w:hAnsi="宋体"/>
                <w:color w:val="000000"/>
                <w:kern w:val="0"/>
                <w:sz w:val="16"/>
                <w:szCs w:val="16"/>
              </w:rPr>
            </w:pPr>
            <w:r>
              <w:rPr>
                <w:rFonts w:hint="eastAsia" w:ascii="宋体" w:hAnsi="宋体"/>
                <w:color w:val="000000"/>
                <w:kern w:val="0"/>
                <w:sz w:val="16"/>
                <w:szCs w:val="16"/>
              </w:rPr>
              <w:t xml:space="preserve">         氨氮（%）</w:t>
            </w:r>
          </w:p>
          <w:p>
            <w:pPr>
              <w:spacing w:line="240" w:lineRule="exact"/>
              <w:rPr>
                <w:rFonts w:ascii="宋体" w:hAnsi="宋体"/>
                <w:color w:val="000000"/>
                <w:kern w:val="0"/>
                <w:sz w:val="16"/>
                <w:szCs w:val="16"/>
              </w:rPr>
            </w:pPr>
            <w:r>
              <w:rPr>
                <w:rFonts w:hint="eastAsia" w:ascii="宋体" w:hAnsi="宋体"/>
                <w:color w:val="000000"/>
                <w:kern w:val="0"/>
                <w:sz w:val="16"/>
                <w:szCs w:val="16"/>
              </w:rPr>
              <w:t xml:space="preserve">         二氧化硫（%）</w:t>
            </w:r>
          </w:p>
          <w:p>
            <w:pPr>
              <w:spacing w:line="240" w:lineRule="exact"/>
              <w:rPr>
                <w:rFonts w:ascii="宋体" w:hAnsi="宋体" w:cs="宋体"/>
                <w:color w:val="000000"/>
                <w:kern w:val="0"/>
                <w:sz w:val="16"/>
                <w:szCs w:val="16"/>
              </w:rPr>
            </w:pPr>
            <w:r>
              <w:rPr>
                <w:rFonts w:hint="eastAsia" w:ascii="宋体" w:hAnsi="宋体"/>
                <w:color w:val="000000"/>
                <w:kern w:val="0"/>
                <w:sz w:val="16"/>
                <w:szCs w:val="16"/>
              </w:rPr>
              <w:t xml:space="preserve">         氮氧化物（%）</w:t>
            </w:r>
          </w:p>
        </w:tc>
        <w:tc>
          <w:tcPr>
            <w:tcW w:w="713"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完成</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目标</w:t>
            </w:r>
          </w:p>
        </w:tc>
        <w:tc>
          <w:tcPr>
            <w:tcW w:w="785" w:type="dxa"/>
            <w:vAlign w:val="center"/>
          </w:tcPr>
          <w:p>
            <w:pPr>
              <w:spacing w:line="240" w:lineRule="exact"/>
              <w:jc w:val="center"/>
              <w:rPr>
                <w:rFonts w:ascii="宋体" w:hAnsi="宋体"/>
                <w:color w:val="000000"/>
                <w:kern w:val="0"/>
                <w:sz w:val="16"/>
                <w:szCs w:val="16"/>
              </w:rPr>
            </w:pPr>
            <w:r>
              <w:rPr>
                <w:rFonts w:hint="eastAsia" w:ascii="宋体" w:hAnsi="宋体"/>
                <w:color w:val="000000"/>
                <w:kern w:val="0"/>
                <w:sz w:val="16"/>
                <w:szCs w:val="16"/>
              </w:rPr>
              <w:t>国家</w:t>
            </w:r>
          </w:p>
          <w:p>
            <w:pPr>
              <w:spacing w:line="240" w:lineRule="exact"/>
              <w:jc w:val="center"/>
              <w:rPr>
                <w:rFonts w:ascii="宋体" w:hAnsi="宋体"/>
                <w:color w:val="000000"/>
                <w:kern w:val="0"/>
                <w:sz w:val="16"/>
                <w:szCs w:val="16"/>
              </w:rPr>
            </w:pPr>
            <w:r>
              <w:rPr>
                <w:rFonts w:hint="eastAsia" w:ascii="宋体" w:hAnsi="宋体"/>
                <w:color w:val="000000"/>
                <w:kern w:val="0"/>
                <w:sz w:val="16"/>
                <w:szCs w:val="16"/>
              </w:rPr>
              <w:t>下达</w:t>
            </w:r>
          </w:p>
        </w:tc>
        <w:tc>
          <w:tcPr>
            <w:tcW w:w="655" w:type="dxa"/>
            <w:vAlign w:val="center"/>
          </w:tcPr>
          <w:p>
            <w:pPr>
              <w:spacing w:line="240" w:lineRule="exact"/>
              <w:jc w:val="center"/>
              <w:rPr>
                <w:rFonts w:ascii="宋体" w:hAnsi="宋体"/>
                <w:color w:val="000000"/>
                <w:kern w:val="0"/>
                <w:sz w:val="16"/>
                <w:szCs w:val="16"/>
              </w:rPr>
            </w:pPr>
          </w:p>
        </w:tc>
        <w:tc>
          <w:tcPr>
            <w:tcW w:w="653" w:type="dxa"/>
            <w:vAlign w:val="center"/>
          </w:tcPr>
          <w:p>
            <w:pPr>
              <w:spacing w:line="240" w:lineRule="exact"/>
              <w:jc w:val="center"/>
              <w:rPr>
                <w:rFonts w:ascii="宋体" w:hAnsi="宋体"/>
                <w:color w:val="000000"/>
                <w:kern w:val="0"/>
                <w:sz w:val="16"/>
                <w:szCs w:val="16"/>
              </w:rPr>
            </w:pPr>
          </w:p>
        </w:tc>
        <w:tc>
          <w:tcPr>
            <w:tcW w:w="715" w:type="dxa"/>
            <w:vAlign w:val="center"/>
          </w:tcPr>
          <w:p>
            <w:pPr>
              <w:spacing w:line="240" w:lineRule="exact"/>
              <w:jc w:val="center"/>
              <w:rPr>
                <w:rFonts w:ascii="宋体" w:hAnsi="宋体"/>
                <w:color w:val="000000"/>
                <w:kern w:val="0"/>
                <w:sz w:val="16"/>
                <w:szCs w:val="16"/>
              </w:rPr>
            </w:pPr>
            <w:r>
              <w:rPr>
                <w:rFonts w:hint="eastAsia" w:ascii="宋体" w:hAnsi="宋体" w:cs="宋体"/>
                <w:color w:val="000000"/>
                <w:kern w:val="0"/>
                <w:sz w:val="16"/>
                <w:szCs w:val="16"/>
              </w:rPr>
              <w:t>约束性</w:t>
            </w:r>
          </w:p>
        </w:tc>
      </w:tr>
    </w:tbl>
    <w:p>
      <w:pPr>
        <w:pStyle w:val="2"/>
        <w:spacing w:beforeLines="80" w:afterLines="80" w:line="456" w:lineRule="exact"/>
        <w:rPr>
          <w:rFonts w:ascii="宋体" w:hAnsi="宋体" w:cs="黑体"/>
          <w:color w:val="000000"/>
          <w:sz w:val="26"/>
          <w:szCs w:val="26"/>
        </w:rPr>
      </w:pPr>
      <w:bookmarkStart w:id="20" w:name="_Toc428544861"/>
      <w:bookmarkStart w:id="21" w:name="_Toc422340953"/>
      <w:bookmarkStart w:id="22" w:name="_Toc437010547"/>
      <w:bookmarkStart w:id="23" w:name="_Toc438458585"/>
      <w:r>
        <w:rPr>
          <w:rFonts w:hint="eastAsia" w:ascii="宋体" w:hAnsi="宋体" w:cs="黑体"/>
          <w:color w:val="000000"/>
          <w:sz w:val="26"/>
          <w:szCs w:val="26"/>
        </w:rPr>
        <w:t>第二篇</w:t>
      </w:r>
      <w:r>
        <w:rPr>
          <w:rFonts w:ascii="宋体" w:hAnsi="宋体" w:cs="黑体"/>
          <w:color w:val="000000"/>
          <w:sz w:val="26"/>
          <w:szCs w:val="26"/>
        </w:rPr>
        <w:t xml:space="preserve">  </w:t>
      </w:r>
      <w:r>
        <w:rPr>
          <w:rFonts w:hint="eastAsia" w:ascii="宋体" w:hAnsi="宋体" w:cs="黑体"/>
          <w:color w:val="000000"/>
          <w:sz w:val="26"/>
          <w:szCs w:val="26"/>
        </w:rPr>
        <w:t>创新驱动  培育发展新动</w:t>
      </w:r>
      <w:bookmarkEnd w:id="20"/>
      <w:bookmarkEnd w:id="21"/>
      <w:bookmarkEnd w:id="22"/>
      <w:r>
        <w:rPr>
          <w:rFonts w:hint="eastAsia" w:ascii="宋体" w:hAnsi="宋体" w:cs="黑体"/>
          <w:color w:val="000000"/>
          <w:sz w:val="26"/>
          <w:szCs w:val="26"/>
        </w:rPr>
        <w:t>力</w:t>
      </w:r>
      <w:bookmarkEnd w:id="23"/>
    </w:p>
    <w:p>
      <w:pPr>
        <w:widowControl/>
        <w:spacing w:line="456" w:lineRule="exact"/>
        <w:ind w:firstLine="504" w:firstLineChars="200"/>
        <w:rPr>
          <w:rFonts w:ascii="宋体" w:hAnsi="宋体" w:eastAsia="仿宋_GB2312" w:cs="仿宋_GB2312"/>
          <w:color w:val="000000"/>
          <w:spacing w:val="-4"/>
          <w:sz w:val="26"/>
          <w:szCs w:val="26"/>
        </w:rPr>
      </w:pPr>
      <w:r>
        <w:rPr>
          <w:rFonts w:hint="eastAsia" w:ascii="宋体" w:hAnsi="宋体" w:eastAsia="仿宋_GB2312" w:cs="仿宋_GB2312"/>
          <w:color w:val="000000"/>
          <w:spacing w:val="-4"/>
          <w:sz w:val="26"/>
          <w:szCs w:val="26"/>
        </w:rPr>
        <w:t>把发展基点放在创新上，以科技创新为引领，以创新人才为支撑，</w:t>
      </w:r>
      <w:r>
        <w:rPr>
          <w:rFonts w:hint="eastAsia" w:ascii="宋体" w:hAnsi="宋体" w:eastAsia="仿宋_GB2312" w:cs="仿宋_GB2312"/>
          <w:snapToGrid w:val="0"/>
          <w:color w:val="000000"/>
          <w:spacing w:val="-4"/>
          <w:kern w:val="0"/>
          <w:sz w:val="26"/>
          <w:szCs w:val="26"/>
        </w:rPr>
        <w:t>大力推进理论创新、制度创新、科技创新、文化创新等各方面创新，</w:t>
      </w:r>
      <w:r>
        <w:rPr>
          <w:rFonts w:hint="eastAsia" w:ascii="宋体" w:hAnsi="宋体" w:eastAsia="仿宋_GB2312" w:cs="仿宋_GB2312"/>
          <w:color w:val="000000"/>
          <w:spacing w:val="-4"/>
          <w:sz w:val="26"/>
          <w:szCs w:val="26"/>
        </w:rPr>
        <w:t>加快发展动力转换，增创发展新优势，促进发展方式由规模速度型向质量效益型转变。</w:t>
      </w:r>
    </w:p>
    <w:p>
      <w:pPr>
        <w:pStyle w:val="3"/>
        <w:spacing w:beforeLines="50" w:afterLines="50" w:line="456" w:lineRule="exact"/>
        <w:rPr>
          <w:rFonts w:ascii="宋体" w:hAnsi="宋体" w:cs="楷体_GB2312"/>
          <w:b/>
          <w:color w:val="000000"/>
          <w:sz w:val="26"/>
          <w:szCs w:val="26"/>
        </w:rPr>
      </w:pPr>
      <w:bookmarkStart w:id="24" w:name="_Toc428544862"/>
      <w:bookmarkStart w:id="25" w:name="_Toc422340954"/>
      <w:bookmarkStart w:id="26" w:name="_Toc437010548"/>
      <w:bookmarkStart w:id="27" w:name="_Toc438458586"/>
      <w:r>
        <w:rPr>
          <w:rFonts w:hint="eastAsia" w:ascii="宋体" w:hAnsi="宋体" w:cs="楷体_GB2312"/>
          <w:b/>
          <w:color w:val="000000"/>
          <w:sz w:val="26"/>
          <w:szCs w:val="26"/>
        </w:rPr>
        <w:t xml:space="preserve">第五章  </w:t>
      </w:r>
      <w:bookmarkEnd w:id="24"/>
      <w:bookmarkEnd w:id="25"/>
      <w:bookmarkEnd w:id="26"/>
      <w:r>
        <w:rPr>
          <w:rFonts w:hint="eastAsia" w:ascii="宋体" w:hAnsi="宋体" w:cs="楷体_GB2312"/>
          <w:b/>
          <w:color w:val="000000"/>
          <w:sz w:val="26"/>
          <w:szCs w:val="26"/>
        </w:rPr>
        <w:t>增强科技创新引领作用</w:t>
      </w:r>
      <w:bookmarkEnd w:id="27"/>
    </w:p>
    <w:p>
      <w:pPr>
        <w:widowControl/>
        <w:spacing w:line="456" w:lineRule="exact"/>
        <w:ind w:firstLine="520" w:firstLineChars="200"/>
        <w:rPr>
          <w:ins w:id="0" w:author="Lenovo" w:date="2015-06-16T11:09:00Z"/>
          <w:rFonts w:ascii="宋体" w:hAnsi="宋体" w:eastAsia="仿宋_GB2312" w:cs="仿宋_GB2312"/>
          <w:color w:val="000000"/>
          <w:sz w:val="26"/>
          <w:szCs w:val="26"/>
        </w:rPr>
      </w:pPr>
      <w:r>
        <w:rPr>
          <w:rFonts w:hint="eastAsia" w:ascii="宋体" w:hAnsi="宋体" w:eastAsia="仿宋_GB2312" w:cs="仿宋_GB2312"/>
          <w:color w:val="000000"/>
          <w:sz w:val="26"/>
          <w:szCs w:val="26"/>
        </w:rPr>
        <w:t>坚持引进消化吸收再创新，加强原始创新和集成创新，构建激励创新的体制机制，促进科技与经济深度融合，增强创新能力。</w:t>
      </w:r>
      <w:r>
        <w:rPr>
          <w:rFonts w:ascii="宋体" w:hAnsi="宋体" w:eastAsia="仿宋_GB2312" w:cs="仿宋_GB2312"/>
          <w:color w:val="000000"/>
          <w:sz w:val="26"/>
          <w:szCs w:val="26"/>
        </w:rPr>
        <w:t xml:space="preserve"> </w:t>
      </w:r>
    </w:p>
    <w:p>
      <w:pPr>
        <w:pStyle w:val="4"/>
        <w:keepLines w:val="0"/>
        <w:spacing w:beforeLines="50" w:afterLines="50" w:line="456" w:lineRule="exact"/>
        <w:rPr>
          <w:rFonts w:ascii="宋体" w:hAnsi="宋体" w:cs="仿宋_GB2312"/>
          <w:b w:val="0"/>
          <w:bCs w:val="0"/>
          <w:color w:val="000000"/>
          <w:sz w:val="26"/>
          <w:szCs w:val="26"/>
        </w:rPr>
      </w:pPr>
      <w:bookmarkStart w:id="28" w:name="_Toc428544864"/>
      <w:bookmarkStart w:id="29" w:name="_Toc437010551"/>
      <w:bookmarkStart w:id="30" w:name="_Toc422340955"/>
      <w:bookmarkStart w:id="31" w:name="_Toc428544863"/>
      <w:bookmarkStart w:id="32" w:name="_Toc437010549"/>
      <w:r>
        <w:rPr>
          <w:rFonts w:hint="eastAsia" w:ascii="宋体" w:hAnsi="宋体" w:cs="仿宋_GB2312"/>
          <w:color w:val="000000"/>
          <w:sz w:val="26"/>
          <w:szCs w:val="26"/>
        </w:rPr>
        <w:t>第一节  推动重点领域创新</w:t>
      </w:r>
      <w:bookmarkEnd w:id="28"/>
      <w:bookmarkEnd w:id="29"/>
      <w:r>
        <w:rPr>
          <w:rFonts w:hint="eastAsia" w:ascii="宋体" w:hAnsi="宋体" w:cs="仿宋_GB2312"/>
          <w:color w:val="000000"/>
          <w:sz w:val="26"/>
          <w:szCs w:val="26"/>
        </w:rPr>
        <w:t>突破</w:t>
      </w:r>
    </w:p>
    <w:p>
      <w:pPr>
        <w:spacing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把握科技革命和产业变革新趋势，推动科技创新与产业升级、民生改善和重大项目建设紧密结合。在经济社会重点领域实施重大科技专项和重大科技工程，突破一批关键核心技术，研发一批重大科技产品，培育一批具有核心竞争力的创新型领军企业，形成一群科技型中小企业，打造创新型产业集群，形成全链条、一体化的创新布局，力争取得重大颠覆性创新和群体性技术突破。加强互联网跨界融合创新。实施高新技术园区和农业科技园区提升发展工程，推动向创新型特色园区发展，打造创新发展的引擎。支持有条件的设区市创建国家农业科技园区，新建若干自治区高新园区。建设创新型城市和区域性创新中心，打造北部湾经济区、西江经济带高新技术产业带。</w:t>
      </w:r>
    </w:p>
    <w:p>
      <w:pPr>
        <w:pStyle w:val="4"/>
        <w:spacing w:beforeLines="50" w:afterLines="50" w:line="460" w:lineRule="exact"/>
        <w:rPr>
          <w:rFonts w:ascii="宋体" w:hAnsi="宋体" w:cs="仿宋_GB2312"/>
          <w:color w:val="000000"/>
          <w:sz w:val="26"/>
          <w:szCs w:val="26"/>
        </w:rPr>
      </w:pPr>
      <w:bookmarkStart w:id="33" w:name="_Toc422340956"/>
      <w:bookmarkStart w:id="34" w:name="_Toc437010550"/>
      <w:bookmarkStart w:id="35" w:name="_Toc428544865"/>
      <w:r>
        <w:rPr>
          <w:rFonts w:hint="eastAsia" w:ascii="宋体" w:hAnsi="宋体" w:cs="仿宋_GB2312"/>
          <w:color w:val="000000"/>
          <w:sz w:val="26"/>
          <w:szCs w:val="26"/>
        </w:rPr>
        <w:t>第二节  加快建设创新平台</w:t>
      </w:r>
      <w:bookmarkEnd w:id="33"/>
      <w:bookmarkEnd w:id="34"/>
      <w:bookmarkEnd w:id="35"/>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加强基础性、前沿性和共性技术研发创新平台建设，增强创新支撑能力。在能源、农林、新材料、先进制造、生命健康、食品安全、生态环保等领域，培育组建自治区级重点实验室，2020年达到86家。推动建设国家级重点实验室，积极争取国家科研院所到广西设立分支机构。建设一批高水平的科研基地、</w:t>
      </w:r>
      <w:bookmarkStart w:id="36" w:name="dttl"/>
      <w:r>
        <w:rPr>
          <w:rFonts w:ascii="宋体" w:hAnsi="宋体" w:eastAsia="仿宋_GB2312" w:cs="仿宋_GB2312"/>
          <w:color w:val="000000"/>
          <w:sz w:val="26"/>
          <w:szCs w:val="26"/>
        </w:rPr>
        <w:fldChar w:fldCharType="begin"/>
      </w:r>
      <w:r>
        <w:rPr>
          <w:rFonts w:ascii="宋体" w:hAnsi="宋体" w:eastAsia="仿宋_GB2312" w:cs="仿宋_GB2312"/>
          <w:color w:val="000000"/>
          <w:sz w:val="26"/>
          <w:szCs w:val="26"/>
        </w:rPr>
        <w:instrText xml:space="preserve"> HYPERLINK "http://jzw.qdio.cas.cn/" \t "_blank" </w:instrText>
      </w:r>
      <w:r>
        <w:rPr>
          <w:rFonts w:ascii="宋体" w:hAnsi="宋体" w:eastAsia="仿宋_GB2312" w:cs="仿宋_GB2312"/>
          <w:color w:val="000000"/>
          <w:sz w:val="26"/>
          <w:szCs w:val="26"/>
        </w:rPr>
        <w:fldChar w:fldCharType="separate"/>
      </w:r>
      <w:r>
        <w:rPr>
          <w:rFonts w:ascii="宋体" w:hAnsi="宋体" w:eastAsia="仿宋_GB2312" w:cs="仿宋_GB2312"/>
          <w:color w:val="000000"/>
          <w:sz w:val="26"/>
          <w:szCs w:val="26"/>
        </w:rPr>
        <w:t>野外科学观测站</w:t>
      </w:r>
      <w:r>
        <w:rPr>
          <w:rFonts w:ascii="宋体" w:hAnsi="宋体" w:eastAsia="仿宋_GB2312" w:cs="仿宋_GB2312"/>
          <w:color w:val="000000"/>
          <w:sz w:val="26"/>
          <w:szCs w:val="26"/>
        </w:rPr>
        <w:fldChar w:fldCharType="end"/>
      </w:r>
      <w:bookmarkEnd w:id="36"/>
      <w:r>
        <w:rPr>
          <w:rFonts w:hint="eastAsia" w:ascii="宋体" w:hAnsi="宋体" w:eastAsia="仿宋_GB2312" w:cs="仿宋_GB2312"/>
          <w:color w:val="000000"/>
          <w:sz w:val="26"/>
          <w:szCs w:val="26"/>
        </w:rPr>
        <w:t>和检测中心。依托企业、高校和科研院所，建设工程技术研究中心、工程实验室、企业技术中心、研发中心、中试基地和技术创新中心。建立支持中小企业技术创新的公共服务平台，加快科技企业孵化器和加速器建设，设区市以上产业园区均建立科技孵化器或孵化园，满足中小企业创新需求。支持高校发展大学生创新创业园区和服务平台。推动重大科研基础设施、大型科研仪器和专利基础信息资源向社会开放利用，提高科研基础设施利用率和科学普及水平。</w:t>
      </w:r>
    </w:p>
    <w:p>
      <w:pPr>
        <w:pStyle w:val="4"/>
        <w:spacing w:beforeLines="50" w:afterLines="50" w:line="460" w:lineRule="exact"/>
        <w:rPr>
          <w:rFonts w:ascii="宋体" w:hAnsi="宋体" w:cs="仿宋_GB2312"/>
          <w:color w:val="000000"/>
          <w:sz w:val="26"/>
          <w:szCs w:val="26"/>
        </w:rPr>
      </w:pPr>
      <w:r>
        <w:rPr>
          <w:rFonts w:hint="eastAsia" w:ascii="宋体" w:hAnsi="宋体" w:cs="仿宋_GB2312"/>
          <w:color w:val="000000"/>
          <w:sz w:val="26"/>
          <w:szCs w:val="26"/>
        </w:rPr>
        <w:t xml:space="preserve">第三节 </w:t>
      </w:r>
      <w:r>
        <w:rPr>
          <w:rFonts w:ascii="宋体" w:hAnsi="宋体" w:cs="仿宋_GB2312"/>
          <w:color w:val="000000"/>
          <w:sz w:val="26"/>
          <w:szCs w:val="26"/>
        </w:rPr>
        <w:t xml:space="preserve"> </w:t>
      </w:r>
      <w:r>
        <w:rPr>
          <w:rFonts w:hint="eastAsia" w:ascii="宋体" w:hAnsi="宋体" w:cs="仿宋_GB2312"/>
          <w:color w:val="000000"/>
          <w:sz w:val="26"/>
          <w:szCs w:val="26"/>
        </w:rPr>
        <w:t>构建创新体系</w:t>
      </w:r>
      <w:bookmarkEnd w:id="30"/>
      <w:bookmarkEnd w:id="31"/>
      <w:bookmarkEnd w:id="32"/>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建立健全技术创新、知识创新、科技服务创新体系。强化企业创新主体地位和主导作用，发挥大型企业技术研发优势，激励中小企业加大研发投入，鼓励企业开展基础性、前沿性创新研究，开展重大产业关键技术、装备和标准研发攻关，参与政府科技创新规划计划和政策研究制定，构建企业主体、政产学研用一体的产业技术创新体系。推动各领域各行业协同创新，构建产业技术创新联盟。加大基础性前沿性创新研究投入，推动高水平大学和科研院所建设，支持组建跨学科、综合交叉科研团队，建设高水平的产学研协同创新中心和服务平台，构建以高校和科研院所为主体的知识创新体系。建立现代科研院所制度，培育面向市场的新型研发机构。大力发展</w:t>
      </w:r>
      <w:r>
        <w:rPr>
          <w:rFonts w:ascii="宋体" w:hAnsi="宋体" w:eastAsia="仿宋_GB2312" w:cs="仿宋_GB2312"/>
          <w:color w:val="000000"/>
          <w:sz w:val="26"/>
          <w:szCs w:val="26"/>
        </w:rPr>
        <w:t>研究开发、技术转移、检验检测认证、</w:t>
      </w:r>
      <w:r>
        <w:rPr>
          <w:rFonts w:hint="eastAsia" w:ascii="宋体" w:hAnsi="宋体" w:eastAsia="仿宋_GB2312" w:cs="仿宋_GB2312"/>
          <w:color w:val="000000"/>
          <w:sz w:val="26"/>
          <w:szCs w:val="26"/>
        </w:rPr>
        <w:t>知识产权、</w:t>
      </w:r>
      <w:r>
        <w:rPr>
          <w:rFonts w:ascii="宋体" w:hAnsi="宋体" w:eastAsia="仿宋_GB2312" w:cs="仿宋_GB2312"/>
          <w:color w:val="000000"/>
          <w:sz w:val="26"/>
          <w:szCs w:val="26"/>
        </w:rPr>
        <w:t>创业孵化等科技服务</w:t>
      </w:r>
      <w:r>
        <w:rPr>
          <w:rFonts w:hint="eastAsia" w:ascii="宋体" w:hAnsi="宋体" w:eastAsia="仿宋_GB2312" w:cs="仿宋_GB2312"/>
          <w:color w:val="000000"/>
          <w:sz w:val="26"/>
          <w:szCs w:val="26"/>
        </w:rPr>
        <w:t>，建设科技服务业集聚区，构建覆盖科技创新全链条的科技服务体系。</w:t>
      </w:r>
    </w:p>
    <w:p>
      <w:pPr>
        <w:pStyle w:val="4"/>
        <w:spacing w:beforeLines="50" w:afterLines="50" w:line="460" w:lineRule="exact"/>
        <w:rPr>
          <w:rFonts w:ascii="宋体" w:hAnsi="宋体" w:cs="仿宋_GB2312"/>
          <w:color w:val="000000"/>
          <w:sz w:val="26"/>
          <w:szCs w:val="26"/>
        </w:rPr>
      </w:pPr>
      <w:bookmarkStart w:id="37" w:name="_Toc422340957"/>
      <w:bookmarkStart w:id="38" w:name="_Toc428544866"/>
      <w:bookmarkStart w:id="39" w:name="_Toc437010552"/>
      <w:r>
        <w:rPr>
          <w:rFonts w:hint="eastAsia" w:ascii="宋体" w:hAnsi="宋体" w:cs="仿宋_GB2312"/>
          <w:color w:val="000000"/>
          <w:sz w:val="26"/>
          <w:szCs w:val="26"/>
        </w:rPr>
        <w:t>第四节  强化创新政策</w:t>
      </w:r>
      <w:bookmarkEnd w:id="37"/>
      <w:r>
        <w:rPr>
          <w:rFonts w:hint="eastAsia" w:ascii="宋体" w:hAnsi="宋体" w:cs="仿宋_GB2312"/>
          <w:color w:val="000000"/>
          <w:sz w:val="26"/>
          <w:szCs w:val="26"/>
        </w:rPr>
        <w:t>支持</w:t>
      </w:r>
      <w:bookmarkEnd w:id="38"/>
      <w:bookmarkEnd w:id="39"/>
    </w:p>
    <w:p>
      <w:pPr>
        <w:spacing w:afterLines="50" w:line="460" w:lineRule="exact"/>
        <w:ind w:firstLine="528" w:firstLineChars="200"/>
        <w:rPr>
          <w:rFonts w:ascii="宋体" w:hAnsi="宋体" w:eastAsia="仿宋_GB2312" w:cs="仿宋_GB2312"/>
          <w:color w:val="000000"/>
          <w:spacing w:val="2"/>
          <w:sz w:val="26"/>
          <w:szCs w:val="26"/>
        </w:rPr>
      </w:pPr>
      <w:r>
        <w:rPr>
          <w:rFonts w:hint="eastAsia" w:ascii="宋体" w:hAnsi="宋体" w:eastAsia="仿宋_GB2312" w:cs="仿宋_GB2312"/>
          <w:color w:val="000000"/>
          <w:spacing w:val="2"/>
          <w:sz w:val="26"/>
          <w:szCs w:val="26"/>
        </w:rPr>
        <w:t>推动政府职能从研发管理向创新服务转变，构建普惠性创新政策支持体系。完善自治区科技决策咨询制度。优化科技资源配置，建立高效统一的科研项目、资金管理、科技成果等评估、监督和动态调整机制，推动科研项目、成果、人才评价机制市场化社会化，健全科技成果使用、处置和收益管理机制，建立科技成果转化激励机制。加大财政对科技创新支持力度，强化金融支持和税收优惠，保持科研经费投入稳定增长。加强技术和知识产权交易平台建设，建立从实验研究、中试到生产的全过程科技创新融资模式，促进科技成果资本化、产业化，提高科技成果转化率。改进新技术、新产品、新商业模式准入管理，鼓励发展新业态，加大政府采购对创新产品和服务支持力度。实施发明专利双倍增计划，加强知识产权保护。扩大面向东盟科技开放合作，实施中国—东盟科技伙伴计划，合作建设技术研发和转移机构、科技示范园区、联合实验室，打造国际科技合作基地。</w:t>
      </w:r>
    </w:p>
    <w:tbl>
      <w:tblPr>
        <w:tblStyle w:val="21"/>
        <w:tblW w:w="6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21" w:type="dxa"/>
            <w:vAlign w:val="center"/>
          </w:tcPr>
          <w:p>
            <w:pPr>
              <w:spacing w:line="340" w:lineRule="exact"/>
              <w:jc w:val="center"/>
              <w:rPr>
                <w:rFonts w:ascii="宋体" w:hAnsi="宋体" w:eastAsia="黑体"/>
                <w:color w:val="000000"/>
                <w:kern w:val="0"/>
                <w:szCs w:val="20"/>
              </w:rPr>
            </w:pPr>
            <w:r>
              <w:rPr>
                <w:rFonts w:hint="eastAsia" w:ascii="黑体" w:hAnsi="宋体" w:eastAsia="黑体" w:cs="仿宋_GB2312"/>
                <w:color w:val="000000"/>
                <w:szCs w:val="20"/>
              </w:rPr>
              <w:t xml:space="preserve">专栏3 </w:t>
            </w:r>
            <w:r>
              <w:rPr>
                <w:rFonts w:hint="eastAsia" w:ascii="宋体" w:hAnsi="宋体" w:eastAsia="黑体" w:cs="仿宋_GB2312"/>
                <w:color w:val="000000"/>
                <w:szCs w:val="20"/>
              </w:rPr>
              <w:t xml:space="preserve"> 科技创新重点工程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3" w:hRule="atLeast"/>
          <w:jc w:val="center"/>
        </w:trPr>
        <w:tc>
          <w:tcPr>
            <w:tcW w:w="6521" w:type="dxa"/>
            <w:vAlign w:val="center"/>
          </w:tcPr>
          <w:p>
            <w:pPr>
              <w:spacing w:line="320" w:lineRule="exact"/>
              <w:rPr>
                <w:rFonts w:ascii="宋体" w:hAnsi="宋体"/>
                <w:color w:val="000000"/>
                <w:kern w:val="0"/>
                <w:sz w:val="18"/>
                <w:szCs w:val="18"/>
              </w:rPr>
            </w:pPr>
            <w:r>
              <w:rPr>
                <w:rFonts w:hint="eastAsia" w:ascii="黑体" w:hAnsi="黑体" w:eastAsia="黑体"/>
                <w:color w:val="000000"/>
                <w:kern w:val="0"/>
                <w:sz w:val="18"/>
                <w:szCs w:val="18"/>
              </w:rPr>
              <w:t>重大科技专项：</w:t>
            </w:r>
            <w:r>
              <w:rPr>
                <w:rFonts w:hint="eastAsia" w:ascii="宋体" w:hAnsi="宋体"/>
                <w:color w:val="000000"/>
                <w:kern w:val="0"/>
                <w:sz w:val="18"/>
                <w:szCs w:val="18"/>
              </w:rPr>
              <w:t>在传统产业转型升级和智能制造、新能源汽车、新能源、石墨烯等新材料，海洋产业、生态环保、生物医药、粮食与生物种业、蔗糖高效生产等领域实施重大科技专项。</w:t>
            </w:r>
          </w:p>
          <w:p>
            <w:pPr>
              <w:spacing w:line="320" w:lineRule="exact"/>
              <w:rPr>
                <w:rFonts w:ascii="宋体" w:hAnsi="宋体"/>
                <w:color w:val="000000"/>
                <w:kern w:val="0"/>
                <w:sz w:val="18"/>
                <w:szCs w:val="18"/>
              </w:rPr>
            </w:pPr>
            <w:r>
              <w:rPr>
                <w:rFonts w:hint="eastAsia" w:ascii="黑体" w:hAnsi="黑体" w:eastAsia="黑体"/>
                <w:color w:val="000000"/>
                <w:kern w:val="0"/>
                <w:sz w:val="18"/>
                <w:szCs w:val="18"/>
              </w:rPr>
              <w:t>科技成果转化：</w:t>
            </w:r>
            <w:r>
              <w:rPr>
                <w:rFonts w:hint="eastAsia" w:ascii="宋体" w:hAnsi="宋体"/>
                <w:color w:val="000000"/>
                <w:kern w:val="0"/>
                <w:sz w:val="18"/>
                <w:szCs w:val="18"/>
              </w:rPr>
              <w:t xml:space="preserve">实施重点领域科技成果引进转化、支撑产业发展科技成果转化、科技成果转移转化服务平台建设行动，组织2000项以上科技成果转化应用，引进转化重大科技成果100项以上，实现年技术交易额100亿元以上。 </w:t>
            </w:r>
          </w:p>
          <w:p>
            <w:pPr>
              <w:spacing w:line="320" w:lineRule="exact"/>
              <w:rPr>
                <w:rFonts w:ascii="宋体" w:hAnsi="宋体"/>
                <w:color w:val="000000"/>
                <w:kern w:val="0"/>
                <w:sz w:val="18"/>
                <w:szCs w:val="18"/>
              </w:rPr>
            </w:pPr>
            <w:r>
              <w:rPr>
                <w:rFonts w:hint="eastAsia" w:ascii="黑体" w:hAnsi="黑体" w:eastAsia="黑体"/>
                <w:color w:val="000000"/>
                <w:kern w:val="0"/>
                <w:sz w:val="18"/>
                <w:szCs w:val="18"/>
              </w:rPr>
              <w:t>高新园区提升：</w:t>
            </w:r>
            <w:r>
              <w:rPr>
                <w:rFonts w:hint="eastAsia" w:ascii="宋体" w:hAnsi="宋体"/>
                <w:color w:val="000000"/>
                <w:kern w:val="0"/>
                <w:sz w:val="18"/>
                <w:szCs w:val="18"/>
              </w:rPr>
              <w:t>推动南宁、桂林、柳州、北海国家高新区，百色、北海、桂林国家农业科技园区创新发展。支持梧州、钦州、来宾、贺州自治区高新区争创国家级高新区。</w:t>
            </w:r>
          </w:p>
          <w:p>
            <w:pPr>
              <w:spacing w:line="320" w:lineRule="exact"/>
              <w:rPr>
                <w:rFonts w:ascii="宋体" w:hAnsi="宋体"/>
                <w:color w:val="000000"/>
                <w:kern w:val="0"/>
                <w:sz w:val="18"/>
                <w:szCs w:val="18"/>
              </w:rPr>
            </w:pPr>
            <w:r>
              <w:rPr>
                <w:rFonts w:hint="eastAsia" w:ascii="黑体" w:hAnsi="黑体" w:eastAsia="黑体"/>
                <w:color w:val="000000"/>
                <w:kern w:val="0"/>
                <w:sz w:val="18"/>
                <w:szCs w:val="18"/>
              </w:rPr>
              <w:t>自主创新示范区建设：</w:t>
            </w:r>
            <w:r>
              <w:rPr>
                <w:rFonts w:hint="eastAsia" w:ascii="宋体" w:hAnsi="宋体"/>
                <w:color w:val="000000"/>
                <w:kern w:val="0"/>
                <w:sz w:val="18"/>
                <w:szCs w:val="18"/>
              </w:rPr>
              <w:t>建设南（宁）柳（州）桂（林）国家自主创新示范区，柳州、玉林小微企业创业创新基地，南宁·中关村创新中心等。</w:t>
            </w:r>
          </w:p>
          <w:p>
            <w:pPr>
              <w:spacing w:line="320" w:lineRule="exact"/>
              <w:rPr>
                <w:rFonts w:ascii="宋体" w:hAnsi="宋体"/>
                <w:color w:val="000000"/>
                <w:kern w:val="0"/>
                <w:sz w:val="18"/>
                <w:szCs w:val="18"/>
              </w:rPr>
            </w:pPr>
            <w:r>
              <w:rPr>
                <w:rFonts w:hint="eastAsia" w:ascii="黑体" w:hAnsi="黑体" w:eastAsia="黑体"/>
                <w:color w:val="000000"/>
                <w:kern w:val="0"/>
                <w:sz w:val="18"/>
                <w:szCs w:val="18"/>
              </w:rPr>
              <w:t>国际科技合作：</w:t>
            </w:r>
            <w:r>
              <w:rPr>
                <w:rFonts w:hint="eastAsia" w:ascii="宋体" w:hAnsi="宋体"/>
                <w:color w:val="000000"/>
                <w:kern w:val="0"/>
                <w:sz w:val="18"/>
                <w:szCs w:val="18"/>
              </w:rPr>
              <w:t>建设中国-东盟技术转移中心、知识产权国际交流合作中心、现代农业科技合作园、质量检验检测认证中心、检验检测认证高技术服务集聚区、环保技术和产业交流合作示范基地等。</w:t>
            </w:r>
          </w:p>
        </w:tc>
      </w:tr>
    </w:tbl>
    <w:p>
      <w:pPr>
        <w:pStyle w:val="3"/>
        <w:spacing w:beforeLines="50" w:afterLines="50" w:line="456" w:lineRule="exact"/>
        <w:rPr>
          <w:rFonts w:ascii="宋体" w:hAnsi="宋体" w:cs="楷体_GB2312"/>
          <w:b/>
          <w:color w:val="000000"/>
          <w:sz w:val="26"/>
          <w:szCs w:val="26"/>
        </w:rPr>
      </w:pPr>
      <w:bookmarkStart w:id="40" w:name="_Toc438458587"/>
      <w:bookmarkStart w:id="41" w:name="_Toc422340963"/>
      <w:bookmarkStart w:id="42" w:name="_Toc428544872"/>
      <w:bookmarkStart w:id="43" w:name="_Toc437010558"/>
      <w:r>
        <w:rPr>
          <w:rFonts w:hint="eastAsia" w:ascii="宋体" w:hAnsi="宋体" w:cs="楷体_GB2312"/>
          <w:b/>
          <w:color w:val="000000"/>
          <w:sz w:val="26"/>
          <w:szCs w:val="26"/>
        </w:rPr>
        <w:t xml:space="preserve">第六章  </w:t>
      </w:r>
      <w:bookmarkStart w:id="44" w:name="_Toc428544877"/>
      <w:bookmarkStart w:id="45" w:name="_Toc437010563"/>
      <w:r>
        <w:rPr>
          <w:rFonts w:hint="eastAsia" w:ascii="宋体" w:hAnsi="宋体" w:cs="楷体_GB2312"/>
          <w:b/>
          <w:color w:val="000000"/>
          <w:sz w:val="26"/>
          <w:szCs w:val="26"/>
        </w:rPr>
        <w:t>推动大众创业万众创新</w:t>
      </w:r>
      <w:bookmarkEnd w:id="40"/>
      <w:bookmarkEnd w:id="44"/>
      <w:bookmarkEnd w:id="45"/>
    </w:p>
    <w:p>
      <w:pPr>
        <w:spacing w:line="444" w:lineRule="exact"/>
        <w:ind w:firstLine="536" w:firstLineChars="200"/>
        <w:rPr>
          <w:rFonts w:ascii="宋体" w:hAnsi="宋体" w:eastAsia="仿宋_GB2312" w:cs="仿宋_GB2312"/>
          <w:color w:val="000000"/>
          <w:spacing w:val="6"/>
          <w:sz w:val="26"/>
          <w:szCs w:val="26"/>
        </w:rPr>
      </w:pPr>
      <w:r>
        <w:rPr>
          <w:rFonts w:hint="eastAsia" w:ascii="宋体" w:hAnsi="宋体" w:eastAsia="仿宋_GB2312" w:cs="仿宋_GB2312"/>
          <w:color w:val="000000"/>
          <w:spacing w:val="4"/>
          <w:sz w:val="26"/>
          <w:szCs w:val="26"/>
        </w:rPr>
        <w:t>实施创业创新行动计划，激发全民创新活力和创业潜能。鼓励大型企业设立技术转移和创新平台，向创业者提供技术服务。依托互联网载体，拓宽创业创新与市场资源、社会需求对接通道，打造创业服务与创业投资、线上与线下相结合的开放式服务载体。大力发展“互联网+”创业网络体系，鼓励企业、高校和科研机构建设</w:t>
      </w:r>
      <w:r>
        <w:rPr>
          <w:rFonts w:hint="eastAsia" w:ascii="宋体" w:hAnsi="宋体" w:eastAsia="仿宋_GB2312" w:cs="仿宋"/>
          <w:color w:val="000000"/>
          <w:sz w:val="26"/>
          <w:szCs w:val="26"/>
        </w:rPr>
        <w:t>创业孵化基地和创业园区，</w:t>
      </w:r>
      <w:r>
        <w:rPr>
          <w:rFonts w:hint="eastAsia" w:ascii="宋体" w:hAnsi="宋体" w:eastAsia="仿宋_GB2312" w:cs="仿宋_GB2312"/>
          <w:color w:val="000000"/>
          <w:spacing w:val="4"/>
          <w:sz w:val="26"/>
          <w:szCs w:val="26"/>
        </w:rPr>
        <w:t>培育一批众创空间，积</w:t>
      </w:r>
      <w:r>
        <w:rPr>
          <w:rFonts w:hint="eastAsia" w:ascii="宋体" w:hAnsi="宋体" w:eastAsia="仿宋_GB2312" w:cs="仿宋_GB2312"/>
          <w:color w:val="000000"/>
          <w:spacing w:val="6"/>
          <w:sz w:val="26"/>
          <w:szCs w:val="26"/>
        </w:rPr>
        <w:t>极发展众创、众包、众扶、众筹，打造一批大众创业、万众创新示范基地。</w:t>
      </w:r>
      <w:r>
        <w:rPr>
          <w:rFonts w:hint="eastAsia" w:ascii="宋体" w:hAnsi="宋体" w:eastAsia="仿宋_GB2312" w:cs="仿宋_GB2312"/>
          <w:color w:val="000000"/>
          <w:spacing w:val="4"/>
          <w:sz w:val="26"/>
          <w:szCs w:val="26"/>
        </w:rPr>
        <w:t>制定扶持创业创新特别是中小微企业发展的政策措施，建设研发设计、科技金融、创业孵化、成果交易、认证检测等创新服务平台，提供低成本、便利化、开放式的服务。</w:t>
      </w:r>
      <w:r>
        <w:rPr>
          <w:rFonts w:hint="eastAsia" w:ascii="宋体" w:hAnsi="宋体" w:eastAsia="仿宋_GB2312" w:cs="仿宋_GB2312"/>
          <w:color w:val="000000"/>
          <w:spacing w:val="6"/>
          <w:sz w:val="26"/>
          <w:szCs w:val="26"/>
        </w:rPr>
        <w:t>发挥政府投资杠杆撬动作用，吸引社会资本参与，大力发展天使、创业和产业投资，</w:t>
      </w:r>
      <w:r>
        <w:rPr>
          <w:rFonts w:hint="eastAsia" w:ascii="宋体" w:hAnsi="宋体" w:eastAsia="仿宋_GB2312" w:cs="仿宋_GB2312"/>
          <w:color w:val="000000"/>
          <w:sz w:val="26"/>
          <w:szCs w:val="26"/>
        </w:rPr>
        <w:t>培育创新资本、创业资本，</w:t>
      </w:r>
      <w:r>
        <w:rPr>
          <w:rFonts w:hint="eastAsia" w:ascii="宋体" w:hAnsi="宋体" w:eastAsia="仿宋_GB2312" w:cs="仿宋_GB2312"/>
          <w:color w:val="000000"/>
          <w:spacing w:val="6"/>
          <w:sz w:val="26"/>
          <w:szCs w:val="26"/>
        </w:rPr>
        <w:t>帮助创新创业者解决筹资难、筹资贵问题。完善再创业扶持政策。倡导创业创新精神，厚植创业创新文化，营造勤奋创业、锐意创新的社会环境。</w:t>
      </w:r>
    </w:p>
    <w:p>
      <w:pPr>
        <w:pStyle w:val="3"/>
        <w:spacing w:beforeLines="50" w:afterLines="50" w:line="444" w:lineRule="exact"/>
        <w:rPr>
          <w:rFonts w:ascii="宋体" w:hAnsi="宋体" w:cs="楷体_GB2312"/>
          <w:b/>
          <w:color w:val="000000"/>
          <w:sz w:val="26"/>
          <w:szCs w:val="26"/>
        </w:rPr>
      </w:pPr>
      <w:bookmarkStart w:id="46" w:name="_Toc438458588"/>
      <w:r>
        <w:rPr>
          <w:rFonts w:hint="eastAsia" w:ascii="宋体" w:hAnsi="宋体" w:cs="楷体_GB2312"/>
          <w:b/>
          <w:color w:val="000000"/>
          <w:sz w:val="26"/>
          <w:szCs w:val="26"/>
        </w:rPr>
        <w:t xml:space="preserve">第七章 </w:t>
      </w:r>
      <w:r>
        <w:rPr>
          <w:rFonts w:ascii="宋体" w:hAnsi="宋体" w:cs="楷体_GB2312"/>
          <w:b/>
          <w:color w:val="000000"/>
          <w:sz w:val="26"/>
          <w:szCs w:val="26"/>
        </w:rPr>
        <w:t xml:space="preserve"> </w:t>
      </w:r>
      <w:r>
        <w:rPr>
          <w:rFonts w:hint="eastAsia" w:ascii="宋体" w:hAnsi="宋体" w:cs="楷体_GB2312"/>
          <w:b/>
          <w:color w:val="000000"/>
          <w:sz w:val="26"/>
          <w:szCs w:val="26"/>
        </w:rPr>
        <w:t>加快建设人才强区</w:t>
      </w:r>
      <w:bookmarkEnd w:id="41"/>
      <w:bookmarkEnd w:id="42"/>
      <w:bookmarkEnd w:id="43"/>
      <w:bookmarkEnd w:id="46"/>
    </w:p>
    <w:p>
      <w:pPr>
        <w:spacing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坚持高端引领、整体开发、服务发展方针，统筹推进各类人才队伍建设，建成西部地区重要的人才集聚区和面向东盟的区域性国际人才高地。</w:t>
      </w:r>
    </w:p>
    <w:p>
      <w:pPr>
        <w:pStyle w:val="4"/>
        <w:spacing w:beforeLines="50" w:afterLines="50" w:line="444" w:lineRule="exact"/>
        <w:rPr>
          <w:rFonts w:ascii="宋体" w:hAnsi="宋体" w:cs="Times New Roman"/>
          <w:b w:val="0"/>
          <w:bCs w:val="0"/>
          <w:color w:val="000000"/>
          <w:sz w:val="26"/>
          <w:szCs w:val="26"/>
        </w:rPr>
      </w:pPr>
      <w:bookmarkStart w:id="47" w:name="_Toc437010559"/>
      <w:bookmarkStart w:id="48" w:name="_Toc428544874"/>
      <w:bookmarkStart w:id="49" w:name="_Toc422340964"/>
      <w:r>
        <w:rPr>
          <w:rFonts w:hint="eastAsia" w:ascii="宋体" w:hAnsi="宋体" w:cs="仿宋_GB2312"/>
          <w:color w:val="000000"/>
          <w:sz w:val="26"/>
          <w:szCs w:val="26"/>
        </w:rPr>
        <w:t>第一节</w:t>
      </w:r>
      <w:r>
        <w:rPr>
          <w:rFonts w:ascii="宋体" w:hAnsi="宋体" w:cs="仿宋_GB2312"/>
          <w:color w:val="000000"/>
          <w:sz w:val="26"/>
          <w:szCs w:val="26"/>
        </w:rPr>
        <w:t xml:space="preserve"> </w:t>
      </w:r>
      <w:r>
        <w:rPr>
          <w:rFonts w:hint="eastAsia" w:ascii="宋体" w:hAnsi="宋体" w:cs="仿宋_GB2312"/>
          <w:color w:val="000000"/>
          <w:sz w:val="26"/>
          <w:szCs w:val="26"/>
        </w:rPr>
        <w:t xml:space="preserve"> 引进培养创新型人才</w:t>
      </w:r>
      <w:bookmarkEnd w:id="47"/>
      <w:bookmarkEnd w:id="48"/>
      <w:bookmarkEnd w:id="49"/>
    </w:p>
    <w:p>
      <w:pPr>
        <w:spacing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突出“高精尖缺”导向，引导人才链与产业链、创新链相衔接，依托重大科技专项和创新平台，实施重大人才工程，加快引进和培养高层次人才，在集聚科研领军人才、拔尖创新人才领域实现新突破。完善各级党委政府决策咨询制度、自治区主席院士顾问制度，实施院士后备人选培养、人才小高地建设提升工程，促进八桂学者、特聘专家选聘规模和质量双提升，建设100个高水平科研创新团队。聚焦特色优势领域和重点学科、行业，创新人才引进方式，以个体引进向创新团队引进转变，重点引进一批有重大发明和重大技术创新的高层次科技领军人才、有国际视野和参与全球化竞争的国际型人才、服务周边外交战略的决策型人才、在开放型经济中发挥作用的外向型人才。支持拔尖中青年人才领衔重大科技专项，到国内外一流大学和科研机构接受培训或合作研究。健全博士后科研流动站和工作站、院士专家工作站、海外高层次人才创新创业基地、留学人员创业园等科技平台，促进高端科技创新人才集聚发展。</w:t>
      </w:r>
    </w:p>
    <w:p>
      <w:pPr>
        <w:pStyle w:val="4"/>
        <w:spacing w:beforeLines="50" w:afterLines="50" w:line="460" w:lineRule="exact"/>
        <w:rPr>
          <w:rFonts w:ascii="宋体" w:hAnsi="宋体" w:cs="仿宋_GB2312"/>
          <w:color w:val="000000"/>
          <w:sz w:val="26"/>
          <w:szCs w:val="26"/>
        </w:rPr>
      </w:pPr>
      <w:bookmarkStart w:id="50" w:name="_Toc428544873"/>
      <w:bookmarkStart w:id="51" w:name="_Toc437010560"/>
      <w:bookmarkStart w:id="52" w:name="_Toc422340965"/>
      <w:r>
        <w:rPr>
          <w:rFonts w:hint="eastAsia" w:ascii="宋体" w:hAnsi="宋体" w:cs="仿宋_GB2312"/>
          <w:color w:val="000000"/>
          <w:sz w:val="26"/>
          <w:szCs w:val="26"/>
        </w:rPr>
        <w:t>第二节</w:t>
      </w:r>
      <w:r>
        <w:rPr>
          <w:rFonts w:ascii="宋体" w:hAnsi="宋体" w:cs="仿宋_GB2312"/>
          <w:color w:val="000000"/>
          <w:sz w:val="26"/>
          <w:szCs w:val="26"/>
        </w:rPr>
        <w:t xml:space="preserve"> </w:t>
      </w:r>
      <w:r>
        <w:rPr>
          <w:rFonts w:hint="eastAsia" w:ascii="宋体" w:hAnsi="宋体" w:cs="仿宋_GB2312"/>
          <w:color w:val="000000"/>
          <w:sz w:val="26"/>
          <w:szCs w:val="26"/>
        </w:rPr>
        <w:t xml:space="preserve"> 建设规模宏大的人才队伍</w:t>
      </w:r>
      <w:bookmarkEnd w:id="50"/>
      <w:bookmarkEnd w:id="51"/>
      <w:bookmarkEnd w:id="52"/>
    </w:p>
    <w:p>
      <w:pPr>
        <w:spacing w:afterLines="50" w:line="460" w:lineRule="exact"/>
        <w:ind w:firstLine="520" w:firstLineChars="200"/>
        <w:rPr>
          <w:rFonts w:ascii="宋体" w:hAnsi="宋体" w:eastAsia="仿宋_GB2312" w:cs="仿宋_GB2312"/>
          <w:color w:val="000000"/>
          <w:sz w:val="32"/>
          <w:szCs w:val="32"/>
        </w:rPr>
      </w:pPr>
      <w:r>
        <w:rPr>
          <w:rFonts w:hint="eastAsia" w:ascii="宋体" w:hAnsi="宋体" w:eastAsia="仿宋_GB2312" w:cs="仿宋_GB2312"/>
          <w:color w:val="000000"/>
          <w:sz w:val="26"/>
          <w:szCs w:val="26"/>
        </w:rPr>
        <w:t>建立健全政府宏观管理、市场有效配置、单位自主用人、人才自主择业的人才体制机制，营造良好的人才发展环境。统筹推进党政人才、企业家人才、专业技术人才、高技能人才、农村实用人才、社会工作专业人才各类人才队伍建设，培养造就数量充足、素质优良、结构合理、富有活力的人才队伍。完善人才评价、培养、使用、流动、激励机制，提高人才社会横向和纵向流动性。鼓励各类人才向基层、向艰苦地区和岗位流动。改进人才服务管理，发展人力资源服务业。</w:t>
      </w:r>
      <w:r>
        <w:rPr>
          <w:rFonts w:hint="eastAsia" w:ascii="宋体" w:hAnsi="宋体" w:eastAsia="仿宋_GB2312" w:cs="仿宋_GB2312"/>
          <w:color w:val="000000"/>
          <w:sz w:val="32"/>
          <w:szCs w:val="32"/>
        </w:rPr>
        <w:t xml:space="preserve"> </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00" w:lineRule="exact"/>
              <w:jc w:val="center"/>
              <w:rPr>
                <w:rFonts w:ascii="宋体" w:hAnsi="宋体" w:eastAsia="黑体" w:cs="仿宋_GB2312"/>
                <w:color w:val="000000"/>
              </w:rPr>
            </w:pPr>
            <w:r>
              <w:rPr>
                <w:rFonts w:hint="eastAsia" w:ascii="黑体" w:hAnsi="宋体" w:eastAsia="黑体" w:cs="仿宋_GB2312"/>
                <w:color w:val="000000"/>
              </w:rPr>
              <w:t>专栏4</w:t>
            </w:r>
            <w:r>
              <w:rPr>
                <w:rFonts w:hint="eastAsia" w:ascii="宋体" w:hAnsi="宋体" w:eastAsia="黑体" w:cs="仿宋_GB2312"/>
                <w:color w:val="000000"/>
              </w:rPr>
              <w:t xml:space="preserve">  人才建设重点工程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jc w:val="center"/>
        </w:trPr>
        <w:tc>
          <w:tcPr>
            <w:tcW w:w="6237" w:type="dxa"/>
            <w:vAlign w:val="center"/>
          </w:tcPr>
          <w:p>
            <w:pPr>
              <w:spacing w:line="30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人才计划：</w:t>
            </w:r>
            <w:r>
              <w:rPr>
                <w:rFonts w:hint="eastAsia" w:ascii="宋体" w:hAnsi="宋体" w:cs="仿宋_GB2312"/>
                <w:color w:val="000000"/>
                <w:kern w:val="0"/>
                <w:sz w:val="18"/>
                <w:szCs w:val="18"/>
              </w:rPr>
              <w:t>实施高层次创新创业专家引才、科技创新人才梯队、海外高层次人才引进、企业家人才素质提升、高校毕业生基层培养等计划。</w:t>
            </w:r>
          </w:p>
          <w:p>
            <w:pPr>
              <w:spacing w:line="300" w:lineRule="exact"/>
              <w:rPr>
                <w:rFonts w:ascii="黑体" w:hAnsi="黑体" w:eastAsia="黑体" w:cs="仿宋_GB2312"/>
                <w:color w:val="000000"/>
                <w:kern w:val="0"/>
                <w:szCs w:val="21"/>
              </w:rPr>
            </w:pPr>
            <w:r>
              <w:rPr>
                <w:rFonts w:hint="eastAsia" w:ascii="黑体" w:hAnsi="黑体" w:eastAsia="黑体" w:cs="仿宋_GB2312"/>
                <w:color w:val="000000"/>
                <w:kern w:val="0"/>
                <w:sz w:val="18"/>
                <w:szCs w:val="18"/>
              </w:rPr>
              <w:t>人才工程：</w:t>
            </w:r>
            <w:r>
              <w:rPr>
                <w:rFonts w:hint="eastAsia" w:ascii="宋体" w:hAnsi="宋体" w:cs="仿宋_GB2312"/>
                <w:color w:val="000000"/>
                <w:kern w:val="0"/>
                <w:sz w:val="18"/>
                <w:szCs w:val="18"/>
              </w:rPr>
              <w:t>实施院士后备人选培养、人才小高地提升、博士后培养、八桂学者、特聘专家、北部湾重大人才、高端外国专家等工程。</w:t>
            </w:r>
          </w:p>
        </w:tc>
      </w:tr>
    </w:tbl>
    <w:p>
      <w:pPr>
        <w:pStyle w:val="3"/>
        <w:spacing w:beforeLines="80" w:afterLines="50" w:line="460" w:lineRule="exact"/>
        <w:rPr>
          <w:rFonts w:ascii="宋体" w:hAnsi="宋体" w:cs="楷体_GB2312"/>
          <w:b/>
          <w:color w:val="000000"/>
          <w:sz w:val="26"/>
          <w:szCs w:val="26"/>
        </w:rPr>
      </w:pPr>
      <w:bookmarkStart w:id="53" w:name="_Toc438458589"/>
      <w:bookmarkStart w:id="54" w:name="_Toc437010561"/>
      <w:bookmarkStart w:id="55" w:name="_Toc428544875"/>
      <w:r>
        <w:rPr>
          <w:rFonts w:hint="eastAsia" w:ascii="宋体" w:hAnsi="宋体" w:cs="楷体_GB2312"/>
          <w:b/>
          <w:color w:val="000000"/>
          <w:sz w:val="26"/>
          <w:szCs w:val="26"/>
        </w:rPr>
        <w:t>第八章  拓展投资消费增长新空间</w:t>
      </w:r>
      <w:bookmarkEnd w:id="53"/>
      <w:bookmarkEnd w:id="54"/>
      <w:bookmarkEnd w:id="55"/>
    </w:p>
    <w:p>
      <w:pPr>
        <w:snapToGrid w:val="0"/>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从供给和需求两侧发力推动结构性改革，创造新供给，释放新需求，培育新动力，形成投资与消费良性互动、供给与需求高效对接的增长动力新机制。</w:t>
      </w:r>
    </w:p>
    <w:p>
      <w:pPr>
        <w:pStyle w:val="4"/>
        <w:spacing w:beforeLines="50" w:afterLines="50" w:line="460" w:lineRule="exact"/>
        <w:rPr>
          <w:rFonts w:ascii="宋体" w:hAnsi="宋体" w:cs="仿宋_GB2312"/>
          <w:color w:val="000000"/>
          <w:sz w:val="26"/>
          <w:szCs w:val="26"/>
        </w:rPr>
      </w:pPr>
      <w:bookmarkStart w:id="56" w:name="_Toc428544876"/>
      <w:bookmarkStart w:id="57" w:name="_Toc437010562"/>
      <w:r>
        <w:rPr>
          <w:rFonts w:hint="eastAsia" w:ascii="宋体" w:hAnsi="宋体" w:cs="仿宋_GB2312"/>
          <w:color w:val="000000"/>
          <w:sz w:val="26"/>
          <w:szCs w:val="26"/>
        </w:rPr>
        <w:t xml:space="preserve">第一节  </w:t>
      </w:r>
      <w:bookmarkEnd w:id="56"/>
      <w:bookmarkEnd w:id="57"/>
      <w:r>
        <w:rPr>
          <w:rFonts w:hint="eastAsia" w:ascii="宋体" w:hAnsi="宋体" w:cs="仿宋_GB2312"/>
          <w:color w:val="000000"/>
          <w:sz w:val="26"/>
          <w:szCs w:val="26"/>
        </w:rPr>
        <w:t>扩大有效投资</w:t>
      </w:r>
    </w:p>
    <w:p>
      <w:pPr>
        <w:snapToGrid w:val="0"/>
        <w:spacing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发挥投资对经济增长的关键作用，优化投资结构，减少无效和低端供给，扩大有效和中高端供给，提高投资有效性精准性。实施重大投资工程包，启动一批全局性、战略性、基础性重大工程项目建设，重点扩大有利于优结构、增后劲、补短板、惠民生的投资，促进投资向重大基础设施、先进制造业和战略性新兴产业、现代服务业、现代农业、新型城镇化、生态环保和公共服务等领域倾斜。推动形成市场化、可持续的投入机制和运营机制，发挥政府投资引导基金作用，带动社会资本扩大有效投资。通过特许经营、政府购买服务、股权合作等方式，全面推进政府与社会资本合作。深化投融资体制改革，加强投资项目在线审批监管平台建设，创新政府投资项目建设管理方式，实施并完善后评价制度。创新融资方式，支持企业通过上市融资、股权交易、发行债券、基金融资、互联网金融等方式，扩大融资规模，降低融资成本。</w:t>
      </w:r>
    </w:p>
    <w:p>
      <w:pPr>
        <w:pStyle w:val="4"/>
        <w:spacing w:beforeLines="50" w:afterLines="50" w:line="444" w:lineRule="exact"/>
        <w:rPr>
          <w:rFonts w:ascii="宋体" w:hAnsi="宋体" w:cs="仿宋_GB2312"/>
          <w:color w:val="000000"/>
          <w:sz w:val="26"/>
          <w:szCs w:val="26"/>
        </w:rPr>
      </w:pPr>
      <w:r>
        <w:rPr>
          <w:rFonts w:hint="eastAsia" w:ascii="宋体" w:hAnsi="宋体" w:cs="仿宋_GB2312"/>
          <w:color w:val="000000"/>
          <w:sz w:val="26"/>
          <w:szCs w:val="26"/>
        </w:rPr>
        <w:t>第二节  促进消费升级</w:t>
      </w:r>
    </w:p>
    <w:p>
      <w:pPr>
        <w:snapToGrid w:val="0"/>
        <w:spacing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发挥消费对经济增长的基础作用，着力扩大居民消费，引导消费朝着智能、绿色、健康、安全方向转变。以扩大服务消费为重点，促进消费升级，带动产业转型，推动供给创新。实施重点领域消费工程，稳定住房和汽车消费，开展绿色生活行动，促进服务消费、信息消费、绿色消费、时尚消费和品质消费，发展消费新业态新模式。拓展南宁、桂林、北海市免税店经营范围，把旅游目的地城市培育成为国际消费中心。实施消费品质量提升工程，提高消费品安全强制性标准，强化质量监管和消费者权益保护，开展放心消费创建活动。开拓农村市场，扩大农村消费。</w:t>
      </w:r>
    </w:p>
    <w:p>
      <w:pPr>
        <w:pStyle w:val="2"/>
        <w:spacing w:beforeLines="80" w:afterLines="80" w:line="444" w:lineRule="exact"/>
        <w:rPr>
          <w:rFonts w:ascii="宋体" w:hAnsi="宋体" w:cs="黑体"/>
          <w:color w:val="000000"/>
          <w:sz w:val="26"/>
          <w:szCs w:val="26"/>
        </w:rPr>
      </w:pPr>
      <w:bookmarkStart w:id="58" w:name="_Toc437010564"/>
      <w:bookmarkStart w:id="59" w:name="_Toc438458590"/>
      <w:r>
        <w:rPr>
          <w:rFonts w:hint="eastAsia" w:ascii="宋体" w:hAnsi="宋体" w:cs="黑体"/>
          <w:color w:val="000000"/>
          <w:sz w:val="26"/>
          <w:szCs w:val="26"/>
        </w:rPr>
        <w:t>第三篇</w:t>
      </w:r>
      <w:r>
        <w:rPr>
          <w:rFonts w:ascii="宋体" w:hAnsi="宋体" w:cs="黑体"/>
          <w:color w:val="000000"/>
          <w:sz w:val="26"/>
          <w:szCs w:val="26"/>
        </w:rPr>
        <w:t xml:space="preserve"> </w:t>
      </w:r>
      <w:r>
        <w:rPr>
          <w:rFonts w:hint="eastAsia" w:ascii="宋体" w:hAnsi="宋体" w:cs="黑体"/>
          <w:color w:val="000000"/>
          <w:sz w:val="26"/>
          <w:szCs w:val="26"/>
        </w:rPr>
        <w:t xml:space="preserve"> 开放带动  形成开放合作新格局</w:t>
      </w:r>
      <w:bookmarkEnd w:id="18"/>
      <w:bookmarkEnd w:id="19"/>
      <w:bookmarkEnd w:id="58"/>
      <w:bookmarkEnd w:id="59"/>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以“三大定位”为统领，高站位、宽视野谋划对外开放，构建面</w:t>
      </w:r>
      <w:r>
        <w:rPr>
          <w:rFonts w:hint="eastAsia" w:ascii="宋体" w:hAnsi="宋体" w:eastAsia="仿宋_GB2312" w:cs="仿宋_GB2312"/>
          <w:color w:val="000000"/>
          <w:spacing w:val="4"/>
          <w:sz w:val="26"/>
          <w:szCs w:val="26"/>
        </w:rPr>
        <w:t>向东盟、衔接欧美日韩、对接港澳台、服务西南中南全方位开放合作新格局，增创开放合作新优势。</w:t>
      </w:r>
    </w:p>
    <w:p>
      <w:pPr>
        <w:pStyle w:val="3"/>
        <w:spacing w:beforeLines="50" w:afterLines="50" w:line="460" w:lineRule="exact"/>
        <w:rPr>
          <w:rFonts w:ascii="宋体" w:hAnsi="宋体" w:cs="楷体_GB2312"/>
          <w:b/>
          <w:color w:val="000000"/>
          <w:sz w:val="26"/>
          <w:szCs w:val="26"/>
        </w:rPr>
        <w:pPrChange w:id="1" w:author="Lenovo" w:date="2015-06-17T08:54:00Z">
          <w:pPr>
            <w:pStyle w:val="3"/>
            <w:spacing w:beforeLines="100" w:afterLines="50" w:line="580" w:lineRule="exact"/>
          </w:pPr>
        </w:pPrChange>
      </w:pPr>
      <w:bookmarkStart w:id="60" w:name="_Toc422340934"/>
      <w:bookmarkStart w:id="61" w:name="_Toc428544844"/>
      <w:bookmarkStart w:id="62" w:name="_Toc437010565"/>
      <w:bookmarkStart w:id="63" w:name="_Toc438458591"/>
      <w:r>
        <w:rPr>
          <w:rFonts w:hint="eastAsia" w:ascii="宋体" w:hAnsi="宋体" w:cs="楷体_GB2312"/>
          <w:b/>
          <w:color w:val="000000"/>
          <w:sz w:val="26"/>
          <w:szCs w:val="26"/>
        </w:rPr>
        <w:t>第九章  建设“一带一路”有机衔接重要门户</w:t>
      </w:r>
      <w:bookmarkEnd w:id="60"/>
      <w:bookmarkEnd w:id="61"/>
      <w:bookmarkEnd w:id="62"/>
      <w:bookmarkEnd w:id="63"/>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积极融入“一带一路”建设，打造“一廊两港两会四基地”，构建衔接“一带一路”的重要枢纽、产业合作基地、开放合作平台、人文交流纽带和区域金融中心。</w:t>
      </w:r>
    </w:p>
    <w:p>
      <w:pPr>
        <w:pStyle w:val="4"/>
        <w:spacing w:beforeLines="50" w:afterLines="50" w:line="460" w:lineRule="exact"/>
        <w:rPr>
          <w:rFonts w:ascii="宋体" w:hAnsi="宋体"/>
          <w:color w:val="000000"/>
          <w:sz w:val="26"/>
          <w:szCs w:val="26"/>
        </w:rPr>
      </w:pPr>
      <w:bookmarkStart w:id="64" w:name="_Toc422340935"/>
      <w:bookmarkStart w:id="65" w:name="_Toc428544845"/>
      <w:bookmarkStart w:id="66" w:name="_Toc437010566"/>
      <w:r>
        <w:rPr>
          <w:rFonts w:hint="eastAsia" w:ascii="宋体" w:hAnsi="宋体"/>
          <w:color w:val="000000"/>
          <w:sz w:val="26"/>
          <w:szCs w:val="26"/>
        </w:rPr>
        <w:t>第一节  建设衔接“一带一路”重要枢纽</w:t>
      </w:r>
      <w:bookmarkEnd w:id="64"/>
      <w:bookmarkEnd w:id="65"/>
      <w:bookmarkEnd w:id="66"/>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发挥广西位于“一带一路”交汇对接的重要节点和关键区域优势，抓住关键通道、关键节点和重点工程，打通缺失路段，形成骨干通道，促进“一带一路”有机衔接和互联互通。以南宁为枢纽，重点建设南宁至贵阳、重庆、成都、西安、兰州、乌鲁木齐等国内城市，连结丝绸之路经济带的北上通道，南宁至越南、老挝、柬埔寨、泰国、马来西亚、新加坡等中南半岛国家，连结海上丝绸之路的南下通道，推动形成贯通我国西部地区与中南半岛、衔接“一带一路”的南北陆路新通道。以柳州为节点，拓展渝新欧国际班列延伸至柳州，推动形成衔接丝绸之路经济带与珠江—西江经济带和港澳地区的粤桂渝新欧国际大通道。以北部湾沿海港口为依托，开通至东盟的海上“穿梭巴士”，建设中国—东盟港口城市合作网络，构建通畅安全的中国—东盟海上通道。以边境地区为重点，加强与越南铁路、</w:t>
      </w:r>
      <w:r>
        <w:rPr>
          <w:rFonts w:hint="eastAsia" w:ascii="宋体" w:hAnsi="宋体" w:eastAsia="仿宋_GB2312" w:cs="仿宋_GB2312"/>
          <w:color w:val="000000"/>
          <w:spacing w:val="6"/>
          <w:sz w:val="26"/>
          <w:szCs w:val="26"/>
        </w:rPr>
        <w:t>公路、桥梁、重要口岸对接，畅通瓶颈路段，构建便捷高效的中国—东盟</w:t>
      </w:r>
      <w:r>
        <w:rPr>
          <w:rFonts w:hint="eastAsia" w:ascii="宋体" w:hAnsi="宋体" w:eastAsia="仿宋_GB2312" w:cs="仿宋_GB2312"/>
          <w:color w:val="000000"/>
          <w:sz w:val="26"/>
          <w:szCs w:val="26"/>
        </w:rPr>
        <w:t>陆路通道。以南宁、桂林机场为载体，加密东盟航线航班，争取西南中南地区重要城市经停中转东盟国家，构建便利顺畅的中国—东盟空中走廊。</w:t>
      </w:r>
    </w:p>
    <w:p>
      <w:pPr>
        <w:pStyle w:val="4"/>
        <w:spacing w:beforeLines="50" w:afterLines="50" w:line="460" w:lineRule="exact"/>
        <w:rPr>
          <w:rFonts w:ascii="宋体" w:hAnsi="宋体"/>
          <w:color w:val="000000"/>
          <w:sz w:val="26"/>
          <w:szCs w:val="26"/>
        </w:rPr>
      </w:pPr>
      <w:bookmarkStart w:id="67" w:name="_Toc422340936"/>
      <w:bookmarkStart w:id="68" w:name="_Toc437010567"/>
      <w:bookmarkStart w:id="69" w:name="_Toc428544846"/>
      <w:r>
        <w:rPr>
          <w:rFonts w:hint="eastAsia" w:ascii="宋体" w:hAnsi="宋体"/>
          <w:color w:val="000000"/>
          <w:sz w:val="26"/>
          <w:szCs w:val="26"/>
        </w:rPr>
        <w:t>第二节  建设“一带一路”产业合作</w:t>
      </w:r>
      <w:bookmarkEnd w:id="67"/>
      <w:r>
        <w:rPr>
          <w:rFonts w:hint="eastAsia" w:ascii="宋体" w:hAnsi="宋体"/>
          <w:color w:val="000000"/>
          <w:sz w:val="26"/>
          <w:szCs w:val="26"/>
        </w:rPr>
        <w:t>基地</w:t>
      </w:r>
      <w:bookmarkEnd w:id="68"/>
      <w:bookmarkEnd w:id="69"/>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以国家推进国际产能和装备制造合作为契机，面向东盟及“一带一路”沿线国家，积极参与国际产业对接和产能合作，打造产业合作先行基地。以北部湾经济区、西江经济带、沿边地区为重点，依托交通通道和重要节点城市，以产业园区为载体，搭建国际产能合作的重要平台，吸引国内优势装备制造产能在广西建设面向东盟</w:t>
      </w:r>
      <w:r>
        <w:rPr>
          <w:rFonts w:hint="eastAsia" w:ascii="宋体" w:hAnsi="宋体" w:eastAsia="仿宋_GB2312" w:cs="仿宋_GB2312"/>
          <w:color w:val="000000"/>
          <w:spacing w:val="-4"/>
          <w:sz w:val="26"/>
          <w:szCs w:val="26"/>
        </w:rPr>
        <w:t>的生产基地；依托边境口岸承接产业转移，利用东盟农林、矿产等资源发展出口加工业，促进贸工一体化，建设出口加工基地。开辟跨境多式联运交通走廊，建设一批境外产业园和生产基地，打造跨境产业链、价值链、物流链。拓展“两国双园”模式，加快中马钦州产业园、马中关丹产业园先进制造基地、信息智慧走廊、文化生态新城建设，打造国际产能合作旗舰项目。推动与东盟国家合作共建产业园区，建设边境和跨境经济合作区，为国内企业赴东盟集群式投资提供平台。加强粮食、水果、红木等跨境农林产品交易平台建设，打造区域性国际交易市场。</w:t>
      </w:r>
    </w:p>
    <w:p>
      <w:pPr>
        <w:pStyle w:val="4"/>
        <w:spacing w:beforeLines="50" w:afterLines="50" w:line="460" w:lineRule="exact"/>
        <w:rPr>
          <w:rFonts w:ascii="宋体" w:hAnsi="宋体"/>
          <w:color w:val="000000"/>
          <w:sz w:val="26"/>
          <w:szCs w:val="26"/>
        </w:rPr>
      </w:pPr>
      <w:bookmarkStart w:id="70" w:name="_Toc437010568"/>
      <w:bookmarkStart w:id="71" w:name="_Toc428544847"/>
      <w:bookmarkStart w:id="72" w:name="_Toc422340937"/>
      <w:r>
        <w:rPr>
          <w:rFonts w:hint="eastAsia" w:ascii="宋体" w:hAnsi="宋体"/>
          <w:color w:val="000000"/>
          <w:sz w:val="26"/>
          <w:szCs w:val="26"/>
        </w:rPr>
        <w:t>第三节  建设“一带一路”重要服务平台</w:t>
      </w:r>
      <w:bookmarkEnd w:id="70"/>
      <w:bookmarkEnd w:id="71"/>
      <w:bookmarkEnd w:id="72"/>
    </w:p>
    <w:p>
      <w:pPr>
        <w:widowControl/>
        <w:spacing w:line="450" w:lineRule="exact"/>
        <w:ind w:firstLine="520" w:firstLineChars="200"/>
        <w:rPr>
          <w:ins w:id="2" w:author="Lenovo" w:date="2015-06-16T16:09:00Z"/>
          <w:rFonts w:ascii="宋体" w:hAnsi="宋体" w:eastAsia="仿宋_GB2312" w:cs="仿宋_GB2312"/>
          <w:color w:val="000000"/>
          <w:sz w:val="26"/>
          <w:szCs w:val="26"/>
        </w:rPr>
      </w:pPr>
      <w:r>
        <w:rPr>
          <w:rFonts w:hint="eastAsia" w:ascii="宋体" w:hAnsi="宋体" w:eastAsia="仿宋_GB2312" w:cs="仿宋_GB2312"/>
          <w:color w:val="000000"/>
          <w:sz w:val="26"/>
          <w:szCs w:val="26"/>
        </w:rPr>
        <w:t>构建多层次合作平台和机制，打造中国—东盟博览会、中国—东盟商务与投资峰会升级版，将服务范围由中国—东盟“10+1”拓展到区域全面经济伙伴关系“10+6”乃至更广区域，建成服务“一带一路”的重要平台和窗口。发挥南宁渠道作用，举办高层系列论坛，提升泛北部湾经济合作论坛国际影响力，推动泛北部湾经济合作成为中国—东盟次区域合作机制，在南宁设立泛北合作机构。以南宁</w:t>
      </w:r>
      <w:r>
        <w:rPr>
          <w:rFonts w:hint="eastAsia" w:ascii="宋体" w:hAnsi="宋体" w:eastAsia="仿宋_GB2312" w:cs="仿宋_GB2312"/>
          <w:color w:val="000000"/>
          <w:spacing w:val="-4"/>
          <w:sz w:val="26"/>
          <w:szCs w:val="26"/>
        </w:rPr>
        <w:t>—</w:t>
      </w:r>
      <w:r>
        <w:rPr>
          <w:rFonts w:hint="eastAsia" w:ascii="宋体" w:hAnsi="宋体" w:eastAsia="仿宋_GB2312" w:cs="仿宋_GB2312"/>
          <w:color w:val="000000"/>
          <w:sz w:val="26"/>
          <w:szCs w:val="26"/>
        </w:rPr>
        <w:t>新加坡经济走廊为主轴，积极推动中国</w:t>
      </w:r>
      <w:r>
        <w:rPr>
          <w:rFonts w:hint="eastAsia" w:ascii="宋体" w:hAnsi="宋体" w:eastAsia="仿宋_GB2312" w:cs="仿宋_GB2312"/>
          <w:color w:val="000000"/>
          <w:spacing w:val="-4"/>
          <w:sz w:val="26"/>
          <w:szCs w:val="26"/>
        </w:rPr>
        <w:t>—</w:t>
      </w:r>
      <w:r>
        <w:rPr>
          <w:rFonts w:hint="eastAsia" w:ascii="宋体" w:hAnsi="宋体" w:eastAsia="仿宋_GB2312" w:cs="仿宋_GB2312"/>
          <w:color w:val="000000"/>
          <w:sz w:val="26"/>
          <w:szCs w:val="26"/>
        </w:rPr>
        <w:t>中南半岛国际经济合作走廊建设，参与孟中印缅国际经济走廊建设以及澜沧江—湄公河、大湄公河次区域合作。争取更多沿线国家在广西设立领事馆和商务办事处，更多国际交流合作机制和平台落户广西。注重发挥企事业、民间团体和社会组织作用，搭建互利共赢的多边交流合作平台。</w:t>
      </w:r>
    </w:p>
    <w:p>
      <w:pPr>
        <w:pStyle w:val="4"/>
        <w:spacing w:beforeLines="50" w:afterLines="50" w:line="450" w:lineRule="exact"/>
        <w:rPr>
          <w:rFonts w:ascii="宋体" w:hAnsi="宋体"/>
          <w:color w:val="000000"/>
          <w:sz w:val="26"/>
          <w:szCs w:val="26"/>
        </w:rPr>
      </w:pPr>
      <w:bookmarkStart w:id="73" w:name="_Toc437010569"/>
      <w:bookmarkStart w:id="74" w:name="_Toc428544848"/>
      <w:bookmarkStart w:id="75" w:name="_Toc422340938"/>
      <w:r>
        <w:rPr>
          <w:rFonts w:hint="eastAsia" w:ascii="宋体" w:hAnsi="宋体"/>
          <w:color w:val="000000"/>
          <w:sz w:val="26"/>
          <w:szCs w:val="26"/>
        </w:rPr>
        <w:t>第四节  建设“一带一路”人文交流纽带</w:t>
      </w:r>
      <w:bookmarkEnd w:id="73"/>
      <w:bookmarkEnd w:id="74"/>
      <w:bookmarkEnd w:id="75"/>
    </w:p>
    <w:p>
      <w:pPr>
        <w:widowControl/>
        <w:spacing w:line="45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构建官民并举、多方参与的人文交流机制，拓展与沿线国家文化体育、教育培训、旅游会展、技术转移、人才培养、医疗保健、信息传播、海洋资源、扶贫减灾，以及历史文化遗产、生态环境保护、应对气候变化等多领域的交流合作，建设国际人文交流基地。吸引沿线国家政治精英、专家学者、企业家和社会人士到广西研修培训，打造国际培训和留学目的地。办好中国—东盟文化交流周。促进城市、港口之间缔结友好城市和姊妹港。深化青年、妇女、智库、科协、民间组织等友好合作，开展丰富多彩的交流活动，为建设“一带一路”夯实民意基础。</w:t>
      </w:r>
    </w:p>
    <w:p>
      <w:pPr>
        <w:pStyle w:val="4"/>
        <w:spacing w:beforeLines="50" w:afterLines="50" w:line="450" w:lineRule="exact"/>
        <w:rPr>
          <w:rFonts w:ascii="宋体" w:hAnsi="宋体"/>
          <w:color w:val="000000"/>
          <w:sz w:val="26"/>
          <w:szCs w:val="26"/>
        </w:rPr>
      </w:pPr>
      <w:bookmarkStart w:id="76" w:name="_Toc428544849"/>
      <w:bookmarkStart w:id="77" w:name="_Toc437010570"/>
      <w:r>
        <w:rPr>
          <w:rFonts w:hint="eastAsia" w:ascii="宋体" w:hAnsi="宋体"/>
          <w:color w:val="000000"/>
          <w:sz w:val="26"/>
          <w:szCs w:val="26"/>
        </w:rPr>
        <w:t>第五节  建设“一带一路”区域金融中心</w:t>
      </w:r>
      <w:bookmarkEnd w:id="76"/>
      <w:bookmarkEnd w:id="77"/>
    </w:p>
    <w:p>
      <w:pPr>
        <w:widowControl/>
        <w:spacing w:afterLines="50" w:line="450" w:lineRule="exact"/>
        <w:ind w:firstLine="520" w:firstLineChars="200"/>
        <w:rPr>
          <w:rFonts w:ascii="宋体" w:hAnsi="宋体" w:eastAsia="仿宋_GB2312" w:cs="仿宋_GB2312"/>
          <w:color w:val="000000"/>
          <w:sz w:val="32"/>
          <w:szCs w:val="32"/>
        </w:rPr>
      </w:pPr>
      <w:r>
        <w:rPr>
          <w:rFonts w:hint="eastAsia" w:ascii="宋体" w:hAnsi="宋体" w:eastAsia="仿宋_GB2312" w:cs="仿宋_GB2312"/>
          <w:color w:val="000000"/>
          <w:sz w:val="26"/>
          <w:szCs w:val="26"/>
        </w:rPr>
        <w:t>充分发挥沿边金融综合改革试验区作用，大力发展沿边金融、跨境金融，构建以南宁为中心，东兴、凭祥为次中心的“金三角”沿边金融格局。积极推动人民币与东盟和南亚国家货币银行间市场区域交易，扩大人民币在跨境贸易和投资中的使用。探索建立外汇管理负面清单制度，逐步放宽企业、个人外汇资金跨境运用限制和人民币境外债务融资，研究推行外债比例自律管理，有序实现资本项目可兑换。推进人民币跨境业务创新，建设区域性跨境人民币结算中心，设立人民币投贷基金和外资股权投资基金，引进外资股权私募基金，加强中国—东盟货币指数应用。探索发展跨境保险业务。加强与国际金融机构合作，推动亚洲基础设施投资银行、丝路基金等在广西设立分支机构，搭建国际产能和装备制造合作金融服务平台。</w:t>
      </w: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237"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黑体" w:cs="仿宋_GB2312"/>
                <w:color w:val="000000"/>
              </w:rPr>
            </w:pPr>
            <w:r>
              <w:rPr>
                <w:rFonts w:hint="eastAsia" w:ascii="宋体" w:hAnsi="宋体" w:eastAsia="黑体" w:cs="仿宋_GB2312"/>
                <w:color w:val="000000"/>
              </w:rPr>
              <w:t>专</w:t>
            </w:r>
            <w:r>
              <w:rPr>
                <w:rFonts w:hint="eastAsia" w:ascii="黑体" w:hAnsi="宋体" w:eastAsia="黑体" w:cs="仿宋_GB2312"/>
                <w:color w:val="000000"/>
              </w:rPr>
              <w:t xml:space="preserve">栏5  </w:t>
            </w:r>
            <w:r>
              <w:rPr>
                <w:rFonts w:hint="eastAsia" w:ascii="宋体" w:hAnsi="宋体" w:eastAsia="黑体" w:cs="仿宋_GB2312"/>
                <w:color w:val="000000"/>
              </w:rPr>
              <w:t>“一带一路”重点工程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14" w:hRule="atLeast"/>
          <w:jc w:val="center"/>
        </w:trPr>
        <w:tc>
          <w:tcPr>
            <w:tcW w:w="6237"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olor w:val="000000"/>
                <w:kern w:val="0"/>
                <w:sz w:val="18"/>
                <w:szCs w:val="18"/>
              </w:rPr>
            </w:pPr>
            <w:r>
              <w:rPr>
                <w:rFonts w:hint="eastAsia" w:ascii="黑体" w:hAnsi="黑体" w:eastAsia="黑体"/>
                <w:color w:val="000000"/>
                <w:kern w:val="0"/>
                <w:sz w:val="18"/>
                <w:szCs w:val="18"/>
              </w:rPr>
              <w:t>国际经济走廊：</w:t>
            </w:r>
            <w:r>
              <w:rPr>
                <w:rFonts w:hint="eastAsia" w:ascii="宋体" w:hAnsi="宋体"/>
                <w:color w:val="000000"/>
                <w:kern w:val="0"/>
                <w:sz w:val="18"/>
                <w:szCs w:val="18"/>
              </w:rPr>
              <w:t>参与以南宁-新加坡经济走廊为主轴的中国-中南半岛经济走廊、孟中印缅经济走廊建设。</w:t>
            </w:r>
          </w:p>
          <w:p>
            <w:pPr>
              <w:spacing w:line="300" w:lineRule="exact"/>
              <w:rPr>
                <w:rFonts w:ascii="宋体" w:hAnsi="宋体"/>
                <w:color w:val="000000"/>
                <w:kern w:val="0"/>
                <w:sz w:val="18"/>
                <w:szCs w:val="18"/>
              </w:rPr>
            </w:pPr>
            <w:r>
              <w:rPr>
                <w:rFonts w:hint="eastAsia" w:ascii="黑体" w:hAnsi="黑体" w:eastAsia="黑体"/>
                <w:color w:val="000000"/>
                <w:kern w:val="0"/>
                <w:sz w:val="18"/>
                <w:szCs w:val="18"/>
              </w:rPr>
              <w:t>重点开发开放试验区：</w:t>
            </w:r>
            <w:r>
              <w:rPr>
                <w:rFonts w:hint="eastAsia" w:ascii="宋体" w:hAnsi="宋体"/>
                <w:color w:val="000000"/>
                <w:kern w:val="0"/>
                <w:sz w:val="18"/>
                <w:szCs w:val="18"/>
              </w:rPr>
              <w:t>建设东兴、凭祥重点开发开放试验区。</w:t>
            </w:r>
          </w:p>
          <w:p>
            <w:pPr>
              <w:spacing w:line="300" w:lineRule="exact"/>
              <w:rPr>
                <w:rFonts w:ascii="宋体" w:hAnsi="宋体"/>
                <w:color w:val="000000"/>
                <w:kern w:val="0"/>
                <w:sz w:val="18"/>
                <w:szCs w:val="18"/>
              </w:rPr>
            </w:pPr>
            <w:r>
              <w:rPr>
                <w:rFonts w:hint="eastAsia" w:ascii="黑体" w:hAnsi="黑体" w:eastAsia="黑体"/>
                <w:color w:val="000000"/>
                <w:kern w:val="0"/>
                <w:sz w:val="18"/>
                <w:szCs w:val="18"/>
              </w:rPr>
              <w:t>国际合作园区：</w:t>
            </w:r>
            <w:r>
              <w:rPr>
                <w:rFonts w:hint="eastAsia" w:ascii="宋体" w:hAnsi="宋体"/>
                <w:color w:val="000000"/>
                <w:kern w:val="0"/>
                <w:sz w:val="18"/>
                <w:szCs w:val="18"/>
              </w:rPr>
              <w:t>建设中马钦州产业园、马中关丹产业园、中国·印尼经贸合作区、中泰（崇左）产业园和（玉林）旅游文化产业园、中新（南宁）产业园、柳州中欧战略合作示范区、广西-文莱经济走廊、中柬（百色）合作产业园等。</w:t>
            </w:r>
          </w:p>
          <w:p>
            <w:pPr>
              <w:spacing w:line="300" w:lineRule="exact"/>
              <w:rPr>
                <w:rFonts w:ascii="宋体" w:hAnsi="宋体"/>
                <w:color w:val="000000"/>
                <w:kern w:val="0"/>
                <w:sz w:val="18"/>
                <w:szCs w:val="18"/>
              </w:rPr>
            </w:pPr>
            <w:r>
              <w:rPr>
                <w:rFonts w:hint="eastAsia" w:ascii="黑体" w:hAnsi="黑体" w:eastAsia="黑体"/>
                <w:color w:val="000000"/>
                <w:kern w:val="0"/>
                <w:sz w:val="18"/>
                <w:szCs w:val="18"/>
              </w:rPr>
              <w:t>跨境（边境）经济合作区：</w:t>
            </w:r>
            <w:r>
              <w:rPr>
                <w:rFonts w:hint="eastAsia" w:ascii="宋体" w:hAnsi="宋体"/>
                <w:color w:val="000000"/>
                <w:kern w:val="0"/>
                <w:sz w:val="18"/>
                <w:szCs w:val="18"/>
              </w:rPr>
              <w:t>建设中越东兴-芒街、凭祥-同登、龙邦-茶岭跨境经济合作区，凭祥、东兴、靖西、龙州、防城区边境经济合作区，中越德天-板约国际旅游合作区、东兴-芒街跨境旅游合作区。</w:t>
            </w:r>
          </w:p>
          <w:p>
            <w:pPr>
              <w:spacing w:line="300" w:lineRule="exact"/>
              <w:rPr>
                <w:rFonts w:ascii="宋体" w:hAnsi="宋体"/>
                <w:color w:val="000000"/>
                <w:kern w:val="0"/>
                <w:sz w:val="18"/>
                <w:szCs w:val="18"/>
              </w:rPr>
            </w:pPr>
            <w:r>
              <w:rPr>
                <w:rFonts w:hint="eastAsia" w:ascii="黑体" w:hAnsi="黑体" w:eastAsia="黑体"/>
                <w:color w:val="000000"/>
                <w:kern w:val="0"/>
                <w:sz w:val="18"/>
                <w:szCs w:val="18"/>
              </w:rPr>
              <w:t>科教文化合作：</w:t>
            </w:r>
            <w:r>
              <w:rPr>
                <w:rFonts w:hint="eastAsia" w:ascii="宋体" w:hAnsi="宋体"/>
                <w:color w:val="000000"/>
                <w:kern w:val="0"/>
                <w:sz w:val="18"/>
                <w:szCs w:val="18"/>
              </w:rPr>
              <w:t>建设中国-东盟联合大学和中国-东盟文化交流中心、文化传媒中心、减贫中心、智库交流中心、国际劳务合作市场和技工培训基地、职业教育联展暨论坛等，柳州和桂林东盟人才培训基地。</w:t>
            </w:r>
          </w:p>
          <w:p>
            <w:pPr>
              <w:spacing w:line="300" w:lineRule="exact"/>
              <w:rPr>
                <w:rFonts w:ascii="黑体" w:hAnsi="黑体" w:eastAsia="黑体"/>
                <w:color w:val="000000"/>
                <w:kern w:val="0"/>
                <w:sz w:val="18"/>
                <w:szCs w:val="18"/>
              </w:rPr>
            </w:pPr>
            <w:r>
              <w:rPr>
                <w:rFonts w:hint="eastAsia" w:ascii="黑体" w:hAnsi="黑体" w:eastAsia="黑体"/>
                <w:color w:val="000000"/>
                <w:kern w:val="0"/>
                <w:sz w:val="18"/>
                <w:szCs w:val="18"/>
              </w:rPr>
              <w:t>区域金融中心：</w:t>
            </w:r>
            <w:r>
              <w:rPr>
                <w:rFonts w:hint="eastAsia" w:ascii="宋体" w:hAnsi="宋体"/>
                <w:color w:val="000000"/>
                <w:kern w:val="0"/>
                <w:sz w:val="18"/>
                <w:szCs w:val="18"/>
              </w:rPr>
              <w:t>建设南宁区域性国际金融中心、东兴和凭祥沿边金融服务中心、中马钦州产业园跨境金融服务中心等。</w:t>
            </w:r>
            <w:r>
              <w:rPr>
                <w:rFonts w:ascii="黑体" w:hAnsi="黑体" w:eastAsia="黑体"/>
                <w:color w:val="000000"/>
                <w:kern w:val="0"/>
                <w:sz w:val="18"/>
                <w:szCs w:val="18"/>
              </w:rPr>
              <w:t xml:space="preserve"> </w:t>
            </w:r>
          </w:p>
        </w:tc>
      </w:tr>
    </w:tbl>
    <w:p>
      <w:pPr>
        <w:widowControl/>
        <w:spacing w:line="580" w:lineRule="exact"/>
        <w:jc w:val="center"/>
        <w:rPr>
          <w:rFonts w:ascii="黑体" w:hAnsi="黑体" w:eastAsia="黑体" w:cs="仿宋_GB2312"/>
          <w:color w:val="000000"/>
          <w:sz w:val="24"/>
          <w:szCs w:val="24"/>
        </w:rPr>
      </w:pPr>
      <w:r>
        <w:rPr>
          <w:color w:val="000000"/>
        </w:rPr>
        <w:drawing>
          <wp:anchor distT="0" distB="0" distL="114300" distR="114300" simplePos="0" relativeHeight="251657216" behindDoc="1" locked="0" layoutInCell="1" allowOverlap="1">
            <wp:simplePos x="0" y="0"/>
            <wp:positionH relativeFrom="column">
              <wp:posOffset>137160</wp:posOffset>
            </wp:positionH>
            <wp:positionV relativeFrom="paragraph">
              <wp:posOffset>33020</wp:posOffset>
            </wp:positionV>
            <wp:extent cx="3638550" cy="4291965"/>
            <wp:effectExtent l="19050" t="0" r="0" b="0"/>
            <wp:wrapNone/>
            <wp:docPr id="111" name="图片 111" descr="一带一路201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一带一路20160120"/>
                    <pic:cNvPicPr>
                      <a:picLocks noChangeAspect="1" noChangeArrowheads="1"/>
                    </pic:cNvPicPr>
                  </pic:nvPicPr>
                  <pic:blipFill>
                    <a:blip r:embed="rId11" cstate="print"/>
                    <a:srcRect/>
                    <a:stretch>
                      <a:fillRect/>
                    </a:stretch>
                  </pic:blipFill>
                  <pic:spPr>
                    <a:xfrm>
                      <a:off x="0" y="0"/>
                      <a:ext cx="3638550" cy="4291965"/>
                    </a:xfrm>
                    <a:prstGeom prst="rect">
                      <a:avLst/>
                    </a:prstGeom>
                    <a:noFill/>
                    <a:ln w="9525">
                      <a:noFill/>
                      <a:miter lim="800000"/>
                      <a:headEnd/>
                      <a:tailEnd/>
                    </a:ln>
                  </pic:spPr>
                </pic:pic>
              </a:graphicData>
            </a:graphic>
          </wp:anchor>
        </w:drawing>
      </w: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line="580" w:lineRule="exact"/>
        <w:jc w:val="center"/>
        <w:rPr>
          <w:rFonts w:ascii="黑体" w:hAnsi="黑体" w:eastAsia="黑体" w:cs="仿宋_GB2312"/>
          <w:color w:val="000000"/>
          <w:sz w:val="24"/>
          <w:szCs w:val="24"/>
        </w:rPr>
      </w:pPr>
    </w:p>
    <w:p>
      <w:pPr>
        <w:widowControl/>
        <w:spacing w:before="312" w:beforeLines="100" w:after="156" w:afterLines="50" w:line="300" w:lineRule="exact"/>
        <w:jc w:val="center"/>
        <w:rPr>
          <w:rFonts w:ascii="黑体" w:hAnsi="黑体" w:eastAsia="黑体" w:cs="仿宋_GB2312"/>
          <w:color w:val="000000"/>
          <w:sz w:val="20"/>
        </w:rPr>
        <w:pPrChange w:id="3" w:author="Lenovo" w:date="2015-06-17T08:54:00Z">
          <w:pPr>
            <w:pStyle w:val="3"/>
            <w:spacing w:beforeLines="100" w:afterLines="50" w:line="580" w:lineRule="exact"/>
          </w:pPr>
        </w:pPrChange>
      </w:pPr>
      <w:r>
        <w:rPr>
          <w:rFonts w:hint="eastAsia" w:ascii="黑体" w:hAnsi="黑体" w:eastAsia="黑体" w:cs="仿宋_GB2312"/>
          <w:color w:val="000000"/>
          <w:sz w:val="20"/>
        </w:rPr>
        <w:t>图1：衔接“一带一路”南北陆路新通道示意图</w:t>
      </w:r>
      <w:bookmarkStart w:id="78" w:name="_Toc422340939"/>
      <w:bookmarkStart w:id="79" w:name="_Toc428544850"/>
      <w:bookmarkStart w:id="80" w:name="_Toc437010571"/>
      <w:bookmarkStart w:id="81" w:name="_Toc438458592"/>
    </w:p>
    <w:p>
      <w:pPr>
        <w:widowControl/>
        <w:spacing w:beforeLines="80" w:afterLines="50" w:line="460" w:lineRule="exact"/>
        <w:jc w:val="center"/>
        <w:rPr>
          <w:rFonts w:ascii="楷体_GB2312" w:hAnsi="宋体" w:eastAsia="楷体_GB2312" w:cs="楷体_GB2312"/>
          <w:b/>
          <w:color w:val="000000"/>
          <w:sz w:val="26"/>
          <w:szCs w:val="26"/>
        </w:rPr>
      </w:pPr>
      <w:r>
        <w:rPr>
          <w:rFonts w:hint="eastAsia" w:ascii="楷体_GB2312" w:hAnsi="宋体" w:eastAsia="楷体_GB2312" w:cs="楷体_GB2312"/>
          <w:b/>
          <w:color w:val="000000"/>
          <w:sz w:val="26"/>
          <w:szCs w:val="26"/>
        </w:rPr>
        <w:t>第十章  打造西南中南地区开放发展新的战略支点</w:t>
      </w:r>
      <w:bookmarkEnd w:id="78"/>
      <w:bookmarkEnd w:id="79"/>
      <w:bookmarkEnd w:id="80"/>
      <w:bookmarkEnd w:id="81"/>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立足服务西南中南地区，完善交通、产业、开放、金融、城镇、生态等支撑体系，深度融入泛珠三角经济圈，提升服务能力。</w:t>
      </w:r>
    </w:p>
    <w:p>
      <w:pPr>
        <w:pStyle w:val="4"/>
        <w:spacing w:beforeLines="50" w:afterLines="50" w:line="456" w:lineRule="exact"/>
        <w:rPr>
          <w:rFonts w:ascii="宋体" w:hAnsi="宋体"/>
          <w:color w:val="000000"/>
          <w:sz w:val="26"/>
          <w:szCs w:val="26"/>
        </w:rPr>
      </w:pPr>
      <w:bookmarkStart w:id="82" w:name="_Toc422340941"/>
      <w:bookmarkStart w:id="83" w:name="_Toc428544852"/>
      <w:bookmarkStart w:id="84" w:name="_Toc437010572"/>
      <w:r>
        <w:rPr>
          <w:rFonts w:hint="eastAsia" w:ascii="宋体" w:hAnsi="宋体"/>
          <w:color w:val="000000"/>
          <w:sz w:val="26"/>
          <w:szCs w:val="26"/>
        </w:rPr>
        <w:t xml:space="preserve">第一节 </w:t>
      </w:r>
      <w:r>
        <w:rPr>
          <w:rFonts w:ascii="宋体" w:hAnsi="宋体"/>
          <w:color w:val="000000"/>
          <w:sz w:val="26"/>
          <w:szCs w:val="26"/>
        </w:rPr>
        <w:t xml:space="preserve"> </w:t>
      </w:r>
      <w:r>
        <w:rPr>
          <w:rFonts w:hint="eastAsia" w:ascii="宋体" w:hAnsi="宋体"/>
          <w:color w:val="000000"/>
          <w:sz w:val="26"/>
          <w:szCs w:val="26"/>
        </w:rPr>
        <w:t>增强服务西南中南地区开放发展能力</w:t>
      </w:r>
      <w:bookmarkEnd w:id="82"/>
      <w:bookmarkEnd w:id="83"/>
      <w:bookmarkEnd w:id="84"/>
    </w:p>
    <w:p>
      <w:pPr>
        <w:widowControl/>
        <w:spacing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加强与西南中南地区战略规划、互联互通、产业协同、生态环保、人才交流等合作，提升区域合作水平。完善省际合作机制，健全高层对话平台，促进战略对接与政策协调。推进跨省骨干通道建设，打通省际断头路和碍航设施，提升道路通达水平，促进交通一体化。鼓励北部湾经济区设立跨省飞地产业园，条件成熟地区在省际毗邻地带设立跨省产业合作园，促进省际间产业和市场一体化。建立北部湾经济区、珠江—西江经济带与成渝、黔中、滇中、长株潭等经济区和长江经济带的合作机制，推动形成连接西南中南地区的经济走廊。加强与周边地区生态环保合作，共建滇桂黔喀斯特石漠化综合防治区、桂湘赣粤南岭山地生态功能区。推动北部湾经济区与粤西沿海地区、海南省携手共建环北部湾经济圈。密切与长三角、京津冀等区域合作。</w:t>
      </w:r>
    </w:p>
    <w:p>
      <w:pPr>
        <w:pStyle w:val="4"/>
        <w:spacing w:beforeLines="50" w:afterLines="50" w:line="456" w:lineRule="exact"/>
        <w:rPr>
          <w:rFonts w:ascii="宋体" w:hAnsi="宋体"/>
          <w:color w:val="000000"/>
          <w:sz w:val="26"/>
          <w:szCs w:val="26"/>
        </w:rPr>
      </w:pPr>
      <w:bookmarkStart w:id="85" w:name="_Toc437010573"/>
      <w:bookmarkStart w:id="86" w:name="_Toc428544853"/>
      <w:bookmarkStart w:id="87" w:name="_Toc422340942"/>
      <w:r>
        <w:rPr>
          <w:rFonts w:hint="eastAsia" w:ascii="宋体" w:hAnsi="宋体"/>
          <w:color w:val="000000"/>
          <w:sz w:val="26"/>
          <w:szCs w:val="26"/>
        </w:rPr>
        <w:t>第二节</w:t>
      </w:r>
      <w:r>
        <w:rPr>
          <w:rFonts w:ascii="宋体" w:hAnsi="宋体"/>
          <w:color w:val="000000"/>
          <w:sz w:val="26"/>
          <w:szCs w:val="26"/>
        </w:rPr>
        <w:t xml:space="preserve"> </w:t>
      </w:r>
      <w:r>
        <w:rPr>
          <w:rFonts w:hint="eastAsia" w:ascii="宋体" w:hAnsi="宋体"/>
          <w:color w:val="000000"/>
          <w:sz w:val="26"/>
          <w:szCs w:val="26"/>
        </w:rPr>
        <w:t xml:space="preserve"> 深度融入泛珠三角区域合作</w:t>
      </w:r>
      <w:bookmarkEnd w:id="85"/>
      <w:bookmarkEnd w:id="86"/>
      <w:bookmarkEnd w:id="87"/>
    </w:p>
    <w:p>
      <w:pPr>
        <w:widowControl/>
        <w:spacing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加快完善对接粤港澳的铁路、公路、水运、机场、管道等基础设施，构建连接西南中南、通往粤港澳的综合交通运输体系，全面提升与区域各方在能源、水利、产业、金融、信息、海洋、旅游、城镇化、生态环保、科教文化、公共服务等领域的合作水平。加快建设桂东承接产业转移示范区，主动对接先进生产力地区，推进两广经济一体化进程，推动形成通达粤港澳的人流、物流、资金流、信息流通道。参与建立泛珠合作基金，打造区域合作融资平台。充分利用内地与港澳建立更紧密经贸关系的安排政策，深化与港澳在投资金融、加工贸易、商贸会展、旅游、专业服务等领域合作，吸引港澳投资者兴办专业服务机构，打造桂港澳服务业集聚区。发挥桂台经贸文化合作论坛作用，建设高水平的桂台农业合作园区，深化拓展桂台经贸合作与文化交流。</w:t>
      </w:r>
    </w:p>
    <w:p>
      <w:pPr>
        <w:pStyle w:val="4"/>
        <w:spacing w:beforeLines="50" w:afterLines="50" w:line="444" w:lineRule="exact"/>
        <w:rPr>
          <w:rFonts w:ascii="宋体" w:hAnsi="宋体"/>
          <w:color w:val="000000"/>
          <w:sz w:val="26"/>
          <w:szCs w:val="26"/>
        </w:rPr>
      </w:pPr>
      <w:bookmarkStart w:id="88" w:name="_Toc437010574"/>
      <w:bookmarkStart w:id="89" w:name="_Toc428544854"/>
      <w:bookmarkStart w:id="90" w:name="_Toc422340943"/>
      <w:r>
        <w:rPr>
          <w:rFonts w:hint="eastAsia" w:ascii="宋体" w:hAnsi="宋体"/>
          <w:color w:val="000000"/>
          <w:sz w:val="26"/>
          <w:szCs w:val="26"/>
        </w:rPr>
        <w:t>第三节</w:t>
      </w:r>
      <w:r>
        <w:rPr>
          <w:rFonts w:ascii="宋体" w:hAnsi="宋体"/>
          <w:color w:val="000000"/>
          <w:sz w:val="26"/>
          <w:szCs w:val="26"/>
        </w:rPr>
        <w:t xml:space="preserve"> </w:t>
      </w:r>
      <w:r>
        <w:rPr>
          <w:rFonts w:hint="eastAsia" w:ascii="宋体" w:hAnsi="宋体"/>
          <w:color w:val="000000"/>
          <w:sz w:val="26"/>
          <w:szCs w:val="26"/>
        </w:rPr>
        <w:t xml:space="preserve"> 建设高铁经济带</w:t>
      </w:r>
      <w:bookmarkEnd w:id="88"/>
      <w:bookmarkEnd w:id="89"/>
      <w:bookmarkEnd w:id="90"/>
    </w:p>
    <w:p>
      <w:pPr>
        <w:widowControl/>
        <w:spacing w:afterLines="50"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 xml:space="preserve">依托南广、贵广、云桂、湘桂、贵南高速铁路，发挥高铁乘数效应，促进产业、人口向高铁沿线重要节点集聚，培育高铁经济带。促进铁路与公路、水运、航空等运输方式衔接，建设衔接顺畅、运转高效的多式联运枢纽站场，打造高铁引领的综合交通运输体系。优化沿线产业布局，促进与高铁紧密关联的先进制造业和旅游、商务、信息、会展等服务业集聚发展；依托高铁枢纽站场布局产业园区，打造高铁特色产业带。优化沿线城镇布局，推动大中小城市和小城镇协调发展，打造高铁特色城镇带。整合旅游资源，优化精品线路，推进沿线旅游一体化，打造高铁特色旅游带。携手周边地区共建高铁经济带合作试验区。 </w:t>
      </w: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60" w:lineRule="exact"/>
              <w:jc w:val="center"/>
              <w:rPr>
                <w:rFonts w:ascii="宋体" w:hAnsi="宋体" w:eastAsia="黑体"/>
                <w:color w:val="000000"/>
              </w:rPr>
            </w:pPr>
            <w:r>
              <w:rPr>
                <w:rFonts w:hint="eastAsia" w:ascii="宋体" w:hAnsi="宋体" w:eastAsia="黑体" w:cs="仿宋_GB2312"/>
                <w:color w:val="000000"/>
              </w:rPr>
              <w:t>专栏</w:t>
            </w:r>
            <w:r>
              <w:rPr>
                <w:rFonts w:hint="eastAsia" w:ascii="黑体" w:hAnsi="宋体" w:eastAsia="黑体" w:cs="仿宋_GB2312"/>
                <w:color w:val="000000"/>
              </w:rPr>
              <w:t>6</w:t>
            </w:r>
            <w:r>
              <w:rPr>
                <w:rFonts w:hint="eastAsia" w:ascii="宋体" w:hAnsi="宋体" w:eastAsia="黑体" w:cs="仿宋_GB2312"/>
                <w:color w:val="000000"/>
              </w:rPr>
              <w:t xml:space="preserve">  战略支点合作工程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46" w:hRule="atLeast"/>
          <w:jc w:val="center"/>
        </w:trPr>
        <w:tc>
          <w:tcPr>
            <w:tcW w:w="6237" w:type="dxa"/>
            <w:vAlign w:val="center"/>
          </w:tcPr>
          <w:p>
            <w:pPr>
              <w:spacing w:line="300" w:lineRule="exact"/>
              <w:rPr>
                <w:rFonts w:ascii="宋体" w:hAnsi="宋体"/>
                <w:color w:val="000000"/>
                <w:kern w:val="0"/>
                <w:sz w:val="18"/>
                <w:szCs w:val="18"/>
              </w:rPr>
            </w:pPr>
            <w:r>
              <w:rPr>
                <w:rFonts w:hint="eastAsia" w:ascii="黑体" w:hAnsi="黑体" w:eastAsia="黑体"/>
                <w:color w:val="000000"/>
                <w:kern w:val="0"/>
                <w:sz w:val="18"/>
                <w:szCs w:val="18"/>
              </w:rPr>
              <w:t>省际合作机制：</w:t>
            </w:r>
            <w:r>
              <w:rPr>
                <w:rFonts w:hint="eastAsia" w:ascii="宋体" w:hAnsi="宋体"/>
                <w:color w:val="000000"/>
                <w:kern w:val="0"/>
                <w:sz w:val="18"/>
                <w:szCs w:val="18"/>
              </w:rPr>
              <w:t>健全桂粤、桂湘、桂滇、桂黔、桂琼、桂渝、桂川、桂沪、桂赣、桂闽合作机制。</w:t>
            </w:r>
          </w:p>
          <w:p>
            <w:pPr>
              <w:spacing w:line="300" w:lineRule="exact"/>
              <w:rPr>
                <w:rFonts w:ascii="宋体" w:hAnsi="宋体"/>
                <w:color w:val="000000"/>
                <w:kern w:val="0"/>
                <w:sz w:val="18"/>
                <w:szCs w:val="18"/>
              </w:rPr>
            </w:pPr>
            <w:r>
              <w:rPr>
                <w:rFonts w:hint="eastAsia" w:ascii="黑体" w:hAnsi="黑体" w:eastAsia="黑体"/>
                <w:color w:val="000000"/>
                <w:kern w:val="0"/>
                <w:sz w:val="18"/>
                <w:szCs w:val="18"/>
              </w:rPr>
              <w:t>桂港澳台合作机制：</w:t>
            </w:r>
            <w:r>
              <w:rPr>
                <w:rFonts w:hint="eastAsia" w:ascii="宋体" w:hAnsi="宋体"/>
                <w:color w:val="000000"/>
                <w:kern w:val="0"/>
                <w:sz w:val="18"/>
                <w:szCs w:val="18"/>
              </w:rPr>
              <w:t>办好桂港桂澳合作论坛、桂台经贸文化合作论坛，建设海峡两岸农业合作示范区。</w:t>
            </w:r>
          </w:p>
          <w:p>
            <w:pPr>
              <w:spacing w:line="300" w:lineRule="exact"/>
              <w:rPr>
                <w:rFonts w:ascii="宋体" w:hAnsi="宋体"/>
                <w:color w:val="000000"/>
                <w:kern w:val="0"/>
                <w:sz w:val="18"/>
                <w:szCs w:val="18"/>
              </w:rPr>
            </w:pPr>
            <w:r>
              <w:rPr>
                <w:rFonts w:hint="eastAsia" w:ascii="黑体" w:hAnsi="黑体" w:eastAsia="黑体"/>
                <w:color w:val="000000"/>
                <w:kern w:val="0"/>
                <w:sz w:val="18"/>
                <w:szCs w:val="18"/>
              </w:rPr>
              <w:t>高铁经济带试验区：</w:t>
            </w:r>
            <w:r>
              <w:rPr>
                <w:rFonts w:hint="eastAsia" w:ascii="宋体" w:hAnsi="宋体"/>
                <w:color w:val="000000"/>
                <w:kern w:val="0"/>
                <w:sz w:val="18"/>
                <w:szCs w:val="18"/>
              </w:rPr>
              <w:t>建设粤桂黔高铁经济带合作试验区（广西园），沿线中心城市高铁经济带试验区。</w:t>
            </w:r>
          </w:p>
          <w:p>
            <w:pPr>
              <w:spacing w:line="300" w:lineRule="exact"/>
              <w:rPr>
                <w:rFonts w:ascii="宋体" w:hAnsi="宋体"/>
                <w:color w:val="000000"/>
                <w:kern w:val="0"/>
                <w:szCs w:val="21"/>
              </w:rPr>
            </w:pPr>
            <w:r>
              <w:rPr>
                <w:rFonts w:hint="eastAsia" w:ascii="黑体" w:hAnsi="黑体" w:eastAsia="黑体"/>
                <w:color w:val="000000"/>
                <w:kern w:val="0"/>
                <w:sz w:val="18"/>
                <w:szCs w:val="18"/>
              </w:rPr>
              <w:t>跨省产业合作园区：</w:t>
            </w:r>
            <w:r>
              <w:rPr>
                <w:rFonts w:hint="eastAsia" w:ascii="宋体" w:hAnsi="宋体"/>
                <w:color w:val="000000"/>
                <w:kern w:val="0"/>
                <w:sz w:val="18"/>
                <w:szCs w:val="18"/>
              </w:rPr>
              <w:t>建设北部湾经济区跨省飞地产业园，粤桂合作特别试验区，粤桂产业合作示范区，北海-湛江粤桂北部湾经济合作区，百色-文山经济合作区，粤桂（贵港）热电循环经济产业园，黔桂（黔南-河池）连片特困地区同步小康合作示范区，湘桂湘江上游生态经济合作区等。</w:t>
            </w:r>
          </w:p>
        </w:tc>
      </w:tr>
    </w:tbl>
    <w:p>
      <w:pPr>
        <w:pStyle w:val="3"/>
        <w:spacing w:beforeLines="80" w:afterLines="50" w:line="460" w:lineRule="exact"/>
        <w:rPr>
          <w:rFonts w:ascii="宋体" w:hAnsi="宋体" w:cs="楷体_GB2312"/>
          <w:b/>
          <w:color w:val="000000"/>
          <w:sz w:val="26"/>
          <w:szCs w:val="26"/>
        </w:rPr>
        <w:pPrChange w:id="4" w:author="Lenovo" w:date="2015-06-17T08:55:00Z">
          <w:pPr>
            <w:pStyle w:val="3"/>
            <w:spacing w:beforeLines="100" w:afterLines="50" w:line="580" w:lineRule="exact"/>
          </w:pPr>
        </w:pPrChange>
      </w:pPr>
      <w:bookmarkStart w:id="91" w:name="_Toc438458593"/>
      <w:bookmarkStart w:id="92" w:name="_Toc422340944"/>
      <w:bookmarkStart w:id="93" w:name="_Toc437010575"/>
      <w:bookmarkStart w:id="94" w:name="_Toc428544855"/>
      <w:r>
        <w:rPr>
          <w:rFonts w:hint="eastAsia" w:ascii="宋体" w:hAnsi="宋体" w:cs="楷体_GB2312"/>
          <w:b/>
          <w:color w:val="000000"/>
          <w:sz w:val="26"/>
          <w:szCs w:val="26"/>
        </w:rPr>
        <w:t>第十一章</w:t>
      </w:r>
      <w:r>
        <w:rPr>
          <w:rFonts w:ascii="宋体" w:hAnsi="宋体" w:cs="楷体_GB2312"/>
          <w:b/>
          <w:color w:val="000000"/>
          <w:sz w:val="26"/>
          <w:szCs w:val="26"/>
        </w:rPr>
        <w:t xml:space="preserve"> </w:t>
      </w:r>
      <w:r>
        <w:rPr>
          <w:rFonts w:hint="eastAsia" w:ascii="宋体" w:hAnsi="宋体" w:cs="楷体_GB2312"/>
          <w:b/>
          <w:color w:val="000000"/>
          <w:sz w:val="26"/>
          <w:szCs w:val="26"/>
        </w:rPr>
        <w:t xml:space="preserve"> 全面提升开放型经济水平</w:t>
      </w:r>
      <w:bookmarkEnd w:id="91"/>
      <w:bookmarkEnd w:id="92"/>
      <w:bookmarkEnd w:id="93"/>
      <w:bookmarkEnd w:id="94"/>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转变对外经济发展方式，大力发展一般贸易和服务贸易，加快发展加工贸易，推进边境贸易转型升级，促进新型贸易方式发展，推动开放型经济扩量提质。</w:t>
      </w:r>
    </w:p>
    <w:p>
      <w:pPr>
        <w:pStyle w:val="4"/>
        <w:spacing w:beforeLines="50" w:afterLines="50" w:line="460" w:lineRule="exact"/>
        <w:rPr>
          <w:rFonts w:ascii="宋体" w:hAnsi="宋体"/>
          <w:color w:val="000000"/>
          <w:sz w:val="26"/>
          <w:szCs w:val="26"/>
        </w:rPr>
      </w:pPr>
      <w:bookmarkStart w:id="95" w:name="_Toc428544856"/>
      <w:bookmarkStart w:id="96" w:name="_Toc437010576"/>
      <w:bookmarkStart w:id="97" w:name="_Toc422340945"/>
      <w:r>
        <w:rPr>
          <w:rFonts w:hint="eastAsia" w:ascii="宋体" w:hAnsi="宋体"/>
          <w:color w:val="000000"/>
          <w:sz w:val="26"/>
          <w:szCs w:val="26"/>
        </w:rPr>
        <w:t>第一节  大力发展对外贸易</w:t>
      </w:r>
      <w:bookmarkEnd w:id="95"/>
      <w:bookmarkEnd w:id="96"/>
      <w:bookmarkEnd w:id="97"/>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 xml:space="preserve">实施以质取胜战略，推动外贸向优质优价、优进优出转变。提高传统优势产品竞争力，扩大装备制造、高新技术、节能环保等产品和技术出口，加快物流运输、技术转让、跨境旅游、研发设计、集散分销等服务贸易出口，提高出口产品和服务的质量、档次和创新要素比重，形成以技术、品牌、质量、服务为核心的出口竞争新优势。鼓励先进技术、关键设备和零部件、矿产资源、农林产品等进口，增加一般消费品进口。巩固提高广西产品在东盟市场占有率，拓展提升美欧、日韩及港澳等市场份额，积极开拓拉美、非洲、中东等新兴出口市场，积极发展与“一带一路”沿线国家的贸易，逐步提高外贸占比。加强营销和售后服务网络建设，搭建对外贸易综合服务平台，培育国际大宗商品交易市场。支持边境地区边民互市贸易升级发展，提升边境小额贸易发展水平，建设边境地区进出口加工基地，促进边境贸易转型升级。创建一批跨境电子商务企业、平台和园区。发展跨境电子商务，推进市场采购等新型贸易方式发展。 </w:t>
      </w:r>
    </w:p>
    <w:p>
      <w:pPr>
        <w:pStyle w:val="4"/>
        <w:spacing w:beforeLines="50" w:afterLines="50" w:line="460" w:lineRule="exact"/>
        <w:rPr>
          <w:rFonts w:ascii="宋体" w:hAnsi="宋体" w:cs="仿宋_GB2312"/>
          <w:color w:val="000000"/>
          <w:sz w:val="26"/>
          <w:szCs w:val="26"/>
        </w:rPr>
      </w:pPr>
      <w:bookmarkStart w:id="98" w:name="_Toc428544857"/>
      <w:bookmarkStart w:id="99" w:name="_Toc422340946"/>
      <w:bookmarkStart w:id="100" w:name="_Toc437010577"/>
      <w:r>
        <w:rPr>
          <w:rFonts w:hint="eastAsia" w:ascii="宋体" w:hAnsi="宋体" w:cs="仿宋_GB2312"/>
          <w:color w:val="000000"/>
          <w:sz w:val="26"/>
          <w:szCs w:val="26"/>
        </w:rPr>
        <w:t>第二节</w:t>
      </w:r>
      <w:r>
        <w:rPr>
          <w:rFonts w:ascii="宋体" w:hAnsi="宋体" w:cs="仿宋_GB2312"/>
          <w:color w:val="000000"/>
          <w:sz w:val="26"/>
          <w:szCs w:val="26"/>
        </w:rPr>
        <w:t xml:space="preserve">  </w:t>
      </w:r>
      <w:r>
        <w:rPr>
          <w:rFonts w:hint="eastAsia" w:ascii="宋体" w:hAnsi="宋体" w:cs="仿宋_GB2312"/>
          <w:color w:val="000000"/>
          <w:sz w:val="26"/>
          <w:szCs w:val="26"/>
        </w:rPr>
        <w:t>加快发展加工贸易</w:t>
      </w:r>
      <w:bookmarkEnd w:id="98"/>
      <w:bookmarkEnd w:id="99"/>
      <w:bookmarkEnd w:id="100"/>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深入实施加工贸易倍增计划，积极发展以高新技术为重点的加工贸易产业，提高加工贸易附加值和增值率。重点发展电子信息和先进装备制造业、生物医药、新材料、节能环保和新能源等新兴产业，促进加工贸易从组装加工向研发设计、核心元器件制造、现代物流等上下游产业链延伸，培育加工贸易产业集群。发挥钦州保税港区、凭祥综合保税区、南宁综合保税区、北海出口加工区等平台作用，鼓励加工贸易企业向中马钦州产业园区和各类海关特殊监管区域集聚发展，建设加工贸易园区，打造南宁</w:t>
      </w:r>
      <w:r>
        <w:rPr>
          <w:rFonts w:hint="eastAsia" w:ascii="宋体" w:hAnsi="宋体" w:eastAsia="仿宋_GB2312" w:cs="仿宋_GB2312"/>
          <w:color w:val="000000"/>
          <w:spacing w:val="-4"/>
          <w:sz w:val="26"/>
          <w:szCs w:val="26"/>
        </w:rPr>
        <w:t>—</w:t>
      </w:r>
      <w:r>
        <w:rPr>
          <w:rFonts w:hint="eastAsia" w:ascii="宋体" w:hAnsi="宋体" w:eastAsia="仿宋_GB2312" w:cs="仿宋_GB2312"/>
          <w:color w:val="000000"/>
          <w:sz w:val="26"/>
          <w:szCs w:val="26"/>
        </w:rPr>
        <w:t>钦州</w:t>
      </w:r>
      <w:r>
        <w:rPr>
          <w:rFonts w:hint="eastAsia" w:ascii="宋体" w:hAnsi="宋体" w:eastAsia="仿宋_GB2312" w:cs="仿宋_GB2312"/>
          <w:color w:val="000000"/>
          <w:spacing w:val="-4"/>
          <w:sz w:val="26"/>
          <w:szCs w:val="26"/>
        </w:rPr>
        <w:t>—</w:t>
      </w:r>
      <w:r>
        <w:rPr>
          <w:rFonts w:hint="eastAsia" w:ascii="宋体" w:hAnsi="宋体" w:eastAsia="仿宋_GB2312" w:cs="仿宋_GB2312"/>
          <w:color w:val="000000"/>
          <w:sz w:val="26"/>
          <w:szCs w:val="26"/>
        </w:rPr>
        <w:t>北海电子信息加工贸易产业带。完善加工贸易支持政策，大力承接东部地区加工贸易产业转移，围绕重点行业引进和培育加工贸易龙头企业，增强带动能力。</w:t>
      </w:r>
    </w:p>
    <w:p>
      <w:pPr>
        <w:pStyle w:val="4"/>
        <w:spacing w:beforeLines="50" w:afterLines="50" w:line="460" w:lineRule="exact"/>
        <w:rPr>
          <w:rFonts w:ascii="宋体" w:hAnsi="宋体" w:cs="仿宋_GB2312"/>
          <w:color w:val="000000"/>
          <w:sz w:val="26"/>
          <w:szCs w:val="26"/>
        </w:rPr>
      </w:pPr>
      <w:bookmarkStart w:id="101" w:name="_Toc437010578"/>
      <w:bookmarkStart w:id="102" w:name="_Toc428544858"/>
      <w:bookmarkStart w:id="103" w:name="_Toc422340947"/>
      <w:r>
        <w:rPr>
          <w:rFonts w:hint="eastAsia" w:ascii="宋体" w:hAnsi="宋体" w:cs="仿宋_GB2312"/>
          <w:color w:val="000000"/>
          <w:sz w:val="26"/>
          <w:szCs w:val="26"/>
        </w:rPr>
        <w:t>第三节  提升利用外资水平</w:t>
      </w:r>
      <w:bookmarkEnd w:id="101"/>
      <w:bookmarkEnd w:id="102"/>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扩大开放领域，放宽准入限制，大力引进境外资金和先进技术。实行外商投资准入前国民待遇加负面清单制度，进一步放开一般制造业准入，推进金融、教育、文体、医疗等服务业领域有序开放，减少健康养老、建筑设计、会计审计、商贸物流等服务业领域准入限制。创新外资利用方式，鼓励外资以参股、并购等方式参与境内企业兼并重组，以特许经营等模式参与公共产品和公共服务领域建设。积极争取国外优惠贷款，重点投向基础设施、教育文化、医疗卫生、生态环境等领域。鼓励外资企业在桂设立研发中心、培训机构、营销机构等。建立外商投资信息报告制度和外商投资信息公示平台，完善外商投资监管体系。</w:t>
      </w:r>
    </w:p>
    <w:p>
      <w:pPr>
        <w:pStyle w:val="4"/>
        <w:spacing w:beforeLines="50" w:afterLines="50" w:line="456" w:lineRule="exact"/>
        <w:rPr>
          <w:rFonts w:ascii="宋体" w:hAnsi="宋体" w:cs="仿宋_GB2312"/>
          <w:color w:val="000000"/>
          <w:sz w:val="26"/>
          <w:szCs w:val="26"/>
        </w:rPr>
      </w:pPr>
      <w:bookmarkStart w:id="104" w:name="_Toc428544860"/>
      <w:bookmarkStart w:id="105" w:name="_Toc437010579"/>
      <w:r>
        <w:rPr>
          <w:rFonts w:hint="eastAsia" w:ascii="宋体" w:hAnsi="宋体" w:cs="仿宋_GB2312"/>
          <w:color w:val="000000"/>
          <w:sz w:val="26"/>
          <w:szCs w:val="26"/>
        </w:rPr>
        <w:t>第四节  加快实施“走出去</w:t>
      </w:r>
      <w:bookmarkEnd w:id="104"/>
      <w:bookmarkEnd w:id="105"/>
      <w:r>
        <w:rPr>
          <w:rFonts w:hint="eastAsia" w:ascii="宋体" w:hAnsi="宋体" w:cs="仿宋_GB2312"/>
          <w:color w:val="000000"/>
          <w:sz w:val="26"/>
          <w:szCs w:val="26"/>
        </w:rPr>
        <w:t>”</w:t>
      </w:r>
    </w:p>
    <w:p>
      <w:pPr>
        <w:spacing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积极推进钢铁、建材、汽车、有色金属、工程机械、农机装备、建筑业等优势产业“走出去”，参与境外基础设施建设和产业合作，带动装备、技术、标准和服务出口。支持企业扩大对外投资，拓展能源电力、油气运输、大型制糖设备、电信设施等境外投资新领域，发展服务外包，创建国际化营销网络和营销品牌，培育一批跨国公司和国际知名品牌，以龙头企业带动中小企业抱团走出去。鼓励企业开展境外绿地投资、并购投资、证券投资、联合投资，承揽工程和劳务合作项目，参与国家援外工程和亚投行等国际金融组织的项目建设。建立政府对外投资服务中心，培育国际化中介服务机构，推进对外投资合作便利化，维护企业海外投资权益。建立健全对外劳务合作工作协调机制，完善外派劳务服务平台，维护劳务人员合法权益。</w:t>
      </w:r>
    </w:p>
    <w:p>
      <w:pPr>
        <w:spacing w:beforeLines="50" w:afterLines="50" w:line="456" w:lineRule="exact"/>
        <w:jc w:val="center"/>
        <w:rPr>
          <w:ins w:id="5" w:author="Lenovo" w:date="2015-06-16T17:50:00Z"/>
          <w:rFonts w:ascii="仿宋_GB2312" w:eastAsia="仿宋_GB2312"/>
          <w:b/>
          <w:color w:val="000000"/>
          <w:sz w:val="26"/>
          <w:szCs w:val="26"/>
        </w:rPr>
      </w:pPr>
      <w:bookmarkStart w:id="106" w:name="_Toc428544859"/>
      <w:bookmarkStart w:id="107" w:name="_Toc437010580"/>
      <w:r>
        <w:rPr>
          <w:rFonts w:hint="eastAsia" w:ascii="仿宋_GB2312" w:eastAsia="仿宋_GB2312"/>
          <w:b/>
          <w:color w:val="000000"/>
          <w:sz w:val="26"/>
          <w:szCs w:val="26"/>
        </w:rPr>
        <w:t>第五节  打造开放型经济发展高地</w:t>
      </w:r>
      <w:bookmarkEnd w:id="103"/>
      <w:bookmarkEnd w:id="106"/>
      <w:bookmarkEnd w:id="107"/>
    </w:p>
    <w:p>
      <w:pPr>
        <w:spacing w:afterLines="50"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实施口岸提升工程，推进边境口岸开放升格，提升海港口岸开放水平，促进内河与航空口岸开放。在具备条件的重点城市、重要机场、水运港口、铁路站场新设一批口岸，推动规模较大的边民互市点升格为边贸互市区。强化大通关协作机制，实行口岸管理相关部门信息互换、监管互认、执法互助，大力推进“联合查验、一次放行”、“一口岸多通道”等模式，全面实施单一窗口，探索中国—东盟“两国一检”通关模式，促进口岸国际合作，提高通关便利化水平，打造高水平的口岸经济。统筹推进海关特殊监管区域整合优化，符合条件的申请转型为综合保税区，推动条件成熟的地区新设综合保税区。依托海关特殊监管区域，大力发展保税物流和保税加工，构建保税加工贸易产业链，打造保税经济。推动条件成熟的设区市设立海关机构。推动设立中国（北部湾）自由贸易试验区，立足服务建设中国—东盟自贸区升级版，积极推进贸易投资便利化、跨境金融合作等制度创新，探索融入全球产业链和价值链新模式，构建开放合作新高地。</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00" w:lineRule="exact"/>
              <w:jc w:val="center"/>
              <w:rPr>
                <w:rFonts w:ascii="宋体" w:hAnsi="宋体" w:eastAsia="楷体_GB2312"/>
                <w:color w:val="000000"/>
                <w:szCs w:val="24"/>
              </w:rPr>
            </w:pPr>
            <w:r>
              <w:rPr>
                <w:rFonts w:hint="eastAsia" w:ascii="宋体" w:hAnsi="宋体" w:eastAsia="黑体" w:cs="仿宋_GB2312"/>
                <w:color w:val="000000"/>
                <w:szCs w:val="24"/>
              </w:rPr>
              <w:t>专栏</w:t>
            </w:r>
            <w:r>
              <w:rPr>
                <w:rFonts w:hint="eastAsia" w:ascii="黑体" w:hAnsi="宋体" w:eastAsia="黑体" w:cs="仿宋_GB2312"/>
                <w:color w:val="000000"/>
                <w:szCs w:val="24"/>
              </w:rPr>
              <w:t>7</w:t>
            </w:r>
            <w:r>
              <w:rPr>
                <w:rFonts w:hint="eastAsia" w:ascii="宋体" w:hAnsi="宋体" w:eastAsia="黑体" w:cs="仿宋_GB2312"/>
                <w:color w:val="000000"/>
                <w:szCs w:val="24"/>
              </w:rPr>
              <w:t xml:space="preserve">  开放型经济重点工程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4" w:hRule="atLeast"/>
          <w:jc w:val="center"/>
        </w:trPr>
        <w:tc>
          <w:tcPr>
            <w:tcW w:w="6237" w:type="dxa"/>
            <w:vAlign w:val="center"/>
          </w:tcPr>
          <w:p>
            <w:pPr>
              <w:spacing w:line="300" w:lineRule="exact"/>
              <w:rPr>
                <w:rFonts w:ascii="宋体" w:hAnsi="宋体"/>
                <w:color w:val="000000"/>
                <w:kern w:val="0"/>
                <w:sz w:val="18"/>
                <w:szCs w:val="18"/>
              </w:rPr>
            </w:pPr>
            <w:r>
              <w:rPr>
                <w:rFonts w:hint="eastAsia" w:ascii="黑体" w:hAnsi="黑体" w:eastAsia="黑体"/>
                <w:color w:val="000000"/>
                <w:kern w:val="0"/>
                <w:sz w:val="18"/>
                <w:szCs w:val="18"/>
              </w:rPr>
              <w:t>综合保税区：</w:t>
            </w:r>
            <w:r>
              <w:rPr>
                <w:rFonts w:hint="eastAsia" w:ascii="宋体" w:hAnsi="宋体"/>
                <w:color w:val="000000"/>
                <w:kern w:val="0"/>
                <w:sz w:val="18"/>
                <w:szCs w:val="18"/>
              </w:rPr>
              <w:t>推进钦州保税港区、凭祥综合保税区、北海出口加工区整合优化，建设南宁综合保税区，推动设立梧州综合保税区等。统筹布局设立海关保税监管场所。</w:t>
            </w:r>
          </w:p>
          <w:p>
            <w:pPr>
              <w:spacing w:line="300" w:lineRule="exact"/>
              <w:rPr>
                <w:rFonts w:ascii="宋体" w:hAnsi="宋体" w:eastAsia="黑体" w:cs="仿宋_GB2312"/>
                <w:color w:val="000000"/>
                <w:sz w:val="18"/>
                <w:szCs w:val="18"/>
              </w:rPr>
            </w:pPr>
            <w:r>
              <w:rPr>
                <w:rFonts w:hint="eastAsia" w:ascii="黑体" w:hAnsi="黑体" w:eastAsia="黑体"/>
                <w:color w:val="000000"/>
                <w:kern w:val="0"/>
                <w:sz w:val="18"/>
                <w:szCs w:val="18"/>
              </w:rPr>
              <w:t>口岸提升：</w:t>
            </w:r>
            <w:r>
              <w:rPr>
                <w:rFonts w:hint="eastAsia" w:ascii="宋体" w:hAnsi="宋体"/>
                <w:color w:val="000000"/>
                <w:kern w:val="0"/>
                <w:sz w:val="18"/>
                <w:szCs w:val="18"/>
              </w:rPr>
              <w:t>推动新设柳州航空口岸，南宁、百色、来宾水运口岸，柳州、桂林铁路口岸。推进科甲、平而关、岳圩、峒中口岸升格为一类双边性口岸，爱店口岸升格为一类国际性口岸，龙邦、硕龙口岸升格为一类国际性口岸并扩大开放。支持友谊关、钦州港、防城港、贵港港、梧州港、东兴、水口、柳州等口岸扩大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8" w:hRule="atLeast"/>
          <w:jc w:val="center"/>
        </w:trPr>
        <w:tc>
          <w:tcPr>
            <w:tcW w:w="6237" w:type="dxa"/>
            <w:vAlign w:val="center"/>
          </w:tcPr>
          <w:p>
            <w:pPr>
              <w:spacing w:line="320" w:lineRule="exact"/>
              <w:rPr>
                <w:rFonts w:ascii="宋体" w:hAnsi="宋体"/>
                <w:color w:val="000000"/>
                <w:kern w:val="0"/>
                <w:sz w:val="18"/>
                <w:szCs w:val="18"/>
              </w:rPr>
            </w:pPr>
            <w:r>
              <w:rPr>
                <w:rFonts w:hint="eastAsia" w:ascii="黑体" w:hAnsi="黑体" w:eastAsia="黑体"/>
                <w:color w:val="000000"/>
                <w:kern w:val="0"/>
                <w:sz w:val="18"/>
                <w:szCs w:val="18"/>
              </w:rPr>
              <w:t>通关便利化：</w:t>
            </w:r>
            <w:r>
              <w:rPr>
                <w:rFonts w:hint="eastAsia" w:ascii="宋体" w:hAnsi="宋体"/>
                <w:color w:val="000000"/>
                <w:kern w:val="0"/>
                <w:sz w:val="18"/>
                <w:szCs w:val="18"/>
              </w:rPr>
              <w:t>在跨境电子商务、国际物流、客货国际道路运输、人员出入境、外国人工作居住、海关监管、检验检疫等领域实施便利化措施。</w:t>
            </w:r>
          </w:p>
          <w:p>
            <w:pPr>
              <w:spacing w:line="320" w:lineRule="exact"/>
              <w:rPr>
                <w:rFonts w:ascii="宋体" w:hAnsi="宋体"/>
                <w:color w:val="000000"/>
                <w:kern w:val="0"/>
                <w:sz w:val="18"/>
                <w:szCs w:val="18"/>
              </w:rPr>
            </w:pPr>
            <w:r>
              <w:rPr>
                <w:rFonts w:hint="eastAsia" w:ascii="黑体" w:hAnsi="黑体" w:eastAsia="黑体"/>
                <w:color w:val="000000"/>
                <w:kern w:val="0"/>
                <w:sz w:val="18"/>
                <w:szCs w:val="18"/>
              </w:rPr>
              <w:t>跨境电子商务：</w:t>
            </w:r>
            <w:r>
              <w:rPr>
                <w:rFonts w:hint="eastAsia" w:ascii="宋体" w:hAnsi="宋体"/>
                <w:color w:val="000000"/>
                <w:kern w:val="0"/>
                <w:sz w:val="18"/>
                <w:szCs w:val="18"/>
              </w:rPr>
              <w:t>建设中国跨境电子商务（南宁）综合试验区、南宁国家级跨境电子商务服务试点城市、中国-东盟电子商务平台、中国-东盟跨境电子商务产业园、跨境电商海外仓等。</w:t>
            </w:r>
          </w:p>
          <w:p>
            <w:pPr>
              <w:spacing w:line="320" w:lineRule="exact"/>
              <w:rPr>
                <w:rFonts w:ascii="宋体" w:hAnsi="宋体"/>
                <w:color w:val="000000"/>
                <w:kern w:val="0"/>
                <w:sz w:val="18"/>
                <w:szCs w:val="18"/>
              </w:rPr>
            </w:pPr>
            <w:r>
              <w:rPr>
                <w:rFonts w:hint="eastAsia" w:ascii="黑体" w:hAnsi="黑体" w:eastAsia="黑体"/>
                <w:color w:val="000000"/>
                <w:kern w:val="0"/>
                <w:sz w:val="18"/>
                <w:szCs w:val="18"/>
              </w:rPr>
              <w:t>大宗商品交易：</w:t>
            </w:r>
            <w:r>
              <w:rPr>
                <w:rFonts w:hint="eastAsia" w:ascii="宋体" w:hAnsi="宋体"/>
                <w:color w:val="000000"/>
                <w:kern w:val="0"/>
                <w:sz w:val="18"/>
                <w:szCs w:val="18"/>
              </w:rPr>
              <w:t>建设北部湾国际大宗商品交易所，中国-东盟进出口商品采购基地，中国-东盟经贸信息港，中国-东盟(百色)农产品交易中心、(崇左、东兴)红木现货交易中心、(凭祥)商品交易会展中心、(东兴)机电贸易城、(玉林)中药材交易所等。</w:t>
            </w:r>
          </w:p>
        </w:tc>
      </w:tr>
    </w:tbl>
    <w:p>
      <w:pPr>
        <w:pStyle w:val="2"/>
        <w:spacing w:beforeLines="80" w:afterLines="80" w:line="460" w:lineRule="exact"/>
        <w:rPr>
          <w:rFonts w:ascii="宋体" w:hAnsi="宋体" w:cs="黑体"/>
          <w:color w:val="000000"/>
          <w:sz w:val="26"/>
          <w:szCs w:val="26"/>
        </w:rPr>
      </w:pPr>
      <w:bookmarkStart w:id="108" w:name="_Toc422341102"/>
      <w:bookmarkStart w:id="109" w:name="_Toc428544878"/>
      <w:bookmarkStart w:id="110" w:name="_Toc437010581"/>
      <w:bookmarkStart w:id="111" w:name="_Toc438458594"/>
      <w:r>
        <w:rPr>
          <w:rFonts w:hint="eastAsia" w:ascii="宋体" w:hAnsi="宋体" w:cs="黑体"/>
          <w:color w:val="000000"/>
          <w:sz w:val="26"/>
          <w:szCs w:val="26"/>
        </w:rPr>
        <w:t>第四篇</w:t>
      </w:r>
      <w:r>
        <w:rPr>
          <w:rFonts w:ascii="宋体" w:hAnsi="宋体" w:cs="黑体"/>
          <w:color w:val="000000"/>
          <w:sz w:val="26"/>
          <w:szCs w:val="26"/>
        </w:rPr>
        <w:t xml:space="preserve"> </w:t>
      </w:r>
      <w:r>
        <w:rPr>
          <w:rFonts w:hint="eastAsia" w:ascii="宋体" w:hAnsi="宋体" w:cs="黑体"/>
          <w:color w:val="000000"/>
          <w:sz w:val="26"/>
          <w:szCs w:val="26"/>
        </w:rPr>
        <w:t xml:space="preserve"> 深化改革  构建发展新体制</w:t>
      </w:r>
      <w:bookmarkEnd w:id="108"/>
      <w:bookmarkEnd w:id="109"/>
      <w:bookmarkEnd w:id="110"/>
      <w:bookmarkEnd w:id="111"/>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针对经济社会发展的瓶颈制约，加大重点领域和关键环节改革力度，推出具有重大牵引作用的改革举措，调动基层积极性，发挥群众首创精神，激发市场活力和社会创造力。</w:t>
      </w:r>
    </w:p>
    <w:p>
      <w:pPr>
        <w:pStyle w:val="3"/>
        <w:spacing w:beforeLines="50" w:afterLines="50" w:line="460" w:lineRule="exact"/>
        <w:rPr>
          <w:rFonts w:ascii="宋体" w:hAnsi="宋体" w:cs="楷体_GB2312"/>
          <w:b/>
          <w:color w:val="000000"/>
          <w:sz w:val="26"/>
          <w:szCs w:val="26"/>
        </w:rPr>
      </w:pPr>
      <w:bookmarkStart w:id="112" w:name="_Toc438458595"/>
      <w:bookmarkStart w:id="113" w:name="_Toc428544879"/>
      <w:bookmarkStart w:id="114" w:name="_Toc437010582"/>
      <w:bookmarkStart w:id="115" w:name="_Toc422341103"/>
      <w:r>
        <w:rPr>
          <w:rFonts w:hint="eastAsia" w:ascii="宋体" w:hAnsi="宋体" w:cs="楷体_GB2312"/>
          <w:b/>
          <w:color w:val="000000"/>
          <w:sz w:val="26"/>
          <w:szCs w:val="26"/>
        </w:rPr>
        <w:t xml:space="preserve">第十二章 </w:t>
      </w:r>
      <w:r>
        <w:rPr>
          <w:rFonts w:ascii="宋体" w:hAnsi="宋体" w:cs="楷体_GB2312"/>
          <w:b/>
          <w:color w:val="000000"/>
          <w:sz w:val="26"/>
          <w:szCs w:val="26"/>
        </w:rPr>
        <w:t xml:space="preserve"> </w:t>
      </w:r>
      <w:r>
        <w:rPr>
          <w:rFonts w:hint="eastAsia" w:ascii="宋体" w:hAnsi="宋体" w:cs="楷体_GB2312"/>
          <w:b/>
          <w:color w:val="000000"/>
          <w:sz w:val="26"/>
          <w:szCs w:val="26"/>
        </w:rPr>
        <w:t>深化行政体制改革</w:t>
      </w:r>
      <w:bookmarkEnd w:id="112"/>
      <w:bookmarkEnd w:id="113"/>
      <w:bookmarkEnd w:id="114"/>
    </w:p>
    <w:p>
      <w:pPr>
        <w:spacing w:line="460" w:lineRule="exact"/>
        <w:ind w:firstLine="520" w:firstLineChars="200"/>
        <w:rPr>
          <w:rFonts w:ascii="宋体" w:hAnsi="宋体" w:eastAsia="仿宋_GB2312" w:cs="仿宋_GB2312"/>
          <w:color w:val="000000"/>
          <w:spacing w:val="4"/>
          <w:sz w:val="26"/>
          <w:szCs w:val="26"/>
        </w:rPr>
      </w:pPr>
      <w:r>
        <w:rPr>
          <w:rFonts w:hint="eastAsia" w:ascii="宋体" w:hAnsi="宋体" w:eastAsia="仿宋_GB2312" w:cs="仿宋_GB2312"/>
          <w:color w:val="000000"/>
          <w:sz w:val="26"/>
          <w:szCs w:val="26"/>
        </w:rPr>
        <w:t>进一步转变政府职能，持续推进简政放权、放管结合、优化服务。坚持宽进与严管相结合，深化商事制度改革，全面推行“三证合一”、“一照一码”，建立健全市场准入负面清单</w:t>
      </w:r>
      <w:r>
        <w:rPr>
          <w:rFonts w:hint="eastAsia" w:ascii="宋体" w:hAnsi="宋体" w:eastAsia="仿宋_GB2312" w:cs="仿宋_GB2312"/>
          <w:color w:val="000000"/>
          <w:spacing w:val="4"/>
          <w:sz w:val="26"/>
          <w:szCs w:val="26"/>
        </w:rPr>
        <w:t>制度。深化行政审批制度改革，进一步取消、下放和调整行政审批事项，大幅缩减政府核准投资项目范围，规范优化审批程序和流程，公布行政审批前置和中介服务事项目录清单。加强事中事后监管，做好取消和下放管理层级行政审批项目的落实和衔接。完善权力清单、责任清单，搭建行政权力运行平台，建设服务型政府。深化乡镇国土资源、村镇规划、环保、安监“四所合一”机构改革。创新调控思路和政策工具，增强宏观调控的针对性和准确性。支持在北部湾经济区和相关市设立行政审批局。加快事业单位分类改革。完善公共资源交易平台，健全各级政务服务体系。</w:t>
      </w:r>
    </w:p>
    <w:p>
      <w:pPr>
        <w:pStyle w:val="3"/>
        <w:spacing w:beforeLines="50" w:afterLines="50" w:line="460" w:lineRule="exact"/>
        <w:rPr>
          <w:rFonts w:ascii="宋体" w:hAnsi="宋体" w:cs="楷体_GB2312"/>
          <w:b/>
          <w:color w:val="000000"/>
          <w:sz w:val="26"/>
          <w:szCs w:val="26"/>
        </w:rPr>
      </w:pPr>
      <w:bookmarkStart w:id="116" w:name="_Toc428544880"/>
      <w:bookmarkStart w:id="117" w:name="_Toc437010583"/>
      <w:bookmarkStart w:id="118" w:name="_Toc438458596"/>
      <w:r>
        <w:rPr>
          <w:rFonts w:hint="eastAsia" w:ascii="宋体" w:hAnsi="宋体" w:cs="楷体_GB2312"/>
          <w:b/>
          <w:color w:val="000000"/>
          <w:sz w:val="26"/>
          <w:szCs w:val="26"/>
        </w:rPr>
        <w:t xml:space="preserve">第十三章  </w:t>
      </w:r>
      <w:bookmarkEnd w:id="115"/>
      <w:bookmarkEnd w:id="116"/>
      <w:bookmarkEnd w:id="117"/>
      <w:bookmarkEnd w:id="118"/>
      <w:r>
        <w:rPr>
          <w:rFonts w:hint="eastAsia" w:ascii="宋体" w:hAnsi="宋体" w:cs="楷体_GB2312"/>
          <w:b/>
          <w:color w:val="000000"/>
          <w:sz w:val="26"/>
          <w:szCs w:val="26"/>
        </w:rPr>
        <w:t>深化财税体制改革</w:t>
      </w:r>
    </w:p>
    <w:p>
      <w:pPr>
        <w:spacing w:line="444" w:lineRule="exact"/>
        <w:ind w:firstLine="520" w:firstLineChars="200"/>
        <w:textAlignment w:val="baseline"/>
        <w:rPr>
          <w:rFonts w:ascii="宋体" w:hAnsi="宋体" w:eastAsia="仿宋_GB2312" w:cs="仿宋_GB2312"/>
          <w:color w:val="000000"/>
          <w:sz w:val="26"/>
          <w:szCs w:val="26"/>
        </w:rPr>
      </w:pPr>
      <w:r>
        <w:rPr>
          <w:rFonts w:hint="eastAsia" w:ascii="宋体" w:hAnsi="宋体" w:eastAsia="仿宋_GB2312" w:cs="仿宋_GB2312"/>
          <w:color w:val="000000"/>
          <w:sz w:val="26"/>
          <w:szCs w:val="26"/>
        </w:rPr>
        <w:t>优化财税结构，提高税收收入比重，完善保障收入稳定增长和民生支出、重点建设的体制机制。建立全面规范、公开透明预算制度，加强与经济社会发展规划计划衔接，实行跨年度预算平衡机制和中期财政规划管理。建立健全政府性债务规模控制、风险预警、债务考核等管理制度。进一步理顺自治区与市县收入划分，完善转移支付制度和自治区直管县财政管理方式，使事权与支出责任相匹配。建立财政转移支付同农业转移人口市民化挂钩机制。加大对革命老区、民族地区、边境地区和连片特困地区一般性转移支付力度。落实国家增值税、消费税、资源税、环境保护税、房地产税、个人所得税和税收征管、地方税体系等重大改革举措。</w:t>
      </w:r>
    </w:p>
    <w:p>
      <w:pPr>
        <w:pStyle w:val="3"/>
        <w:spacing w:beforeLines="50" w:afterLines="50" w:line="444" w:lineRule="exact"/>
        <w:rPr>
          <w:rFonts w:ascii="宋体" w:hAnsi="宋体" w:cs="楷体_GB2312"/>
          <w:b/>
          <w:color w:val="000000"/>
          <w:sz w:val="26"/>
          <w:szCs w:val="26"/>
        </w:rPr>
      </w:pPr>
      <w:bookmarkStart w:id="119" w:name="_Toc438458597"/>
      <w:bookmarkStart w:id="120" w:name="_Toc437010584"/>
      <w:r>
        <w:rPr>
          <w:rFonts w:hint="eastAsia" w:ascii="宋体" w:hAnsi="宋体" w:cs="楷体_GB2312"/>
          <w:b/>
          <w:color w:val="000000"/>
          <w:sz w:val="26"/>
          <w:szCs w:val="26"/>
        </w:rPr>
        <w:t>第十四章  深化金融体制改革</w:t>
      </w:r>
      <w:bookmarkEnd w:id="119"/>
      <w:bookmarkEnd w:id="120"/>
    </w:p>
    <w:p>
      <w:pPr>
        <w:spacing w:line="444" w:lineRule="exact"/>
        <w:ind w:firstLine="520" w:firstLineChars="200"/>
        <w:textAlignment w:val="baseline"/>
        <w:rPr>
          <w:rFonts w:ascii="宋体" w:hAnsi="宋体" w:eastAsia="仿宋_GB2312" w:cs="仿宋_GB2312"/>
          <w:color w:val="000000"/>
          <w:sz w:val="26"/>
          <w:szCs w:val="26"/>
        </w:rPr>
      </w:pPr>
      <w:r>
        <w:rPr>
          <w:rFonts w:hint="eastAsia" w:ascii="宋体" w:hAnsi="宋体" w:eastAsia="仿宋_GB2312" w:cs="仿宋_GB2312"/>
          <w:color w:val="000000"/>
          <w:sz w:val="26"/>
          <w:szCs w:val="26"/>
        </w:rPr>
        <w:t>扩大金融总量，增加金融资源，支持实体经济发展。深入实施引金入桂战略，支持各类金融机构入桂发展，完善银行、证券、保险等各类金融组织体系。支持广西北部湾银行、柳州银行、桂林银行、广西农村信用联社、村镇银行等地方金融机构发展，筹备建设西江银行，推动设立民营银行和信托投资公司、财务公司、金融租赁公司、保险公司、消费金融公司等非银行金融机构，做大地方金融。设立一批创业投资和股权投资基金，鼓励各类资本发展融资担保、融资租赁和小额贷款公司，完善面向中小微企业的融资担保体系。培育发展多层次资本市场，建设北部湾股权交易所、南宁股权交易中心和证券公司，完善自治区股权交易市场体系，推进企业上市融资，扩大直接融资规模。发展普惠金融，加强对中小微企业、农村特别是贫困地区金融服务，健全农村普惠金融组织服务体系，支持各类保险业发展，组建地方法人寿险机构。推进自治区农村信用联社改革。积极稳妥发展互联网金融。优化金融生态环境，防范化解金融风险。</w:t>
      </w:r>
    </w:p>
    <w:p>
      <w:pPr>
        <w:pStyle w:val="3"/>
        <w:spacing w:beforeLines="50" w:afterLines="50" w:line="460" w:lineRule="exact"/>
        <w:rPr>
          <w:rFonts w:ascii="宋体" w:hAnsi="宋体" w:cs="楷体_GB2312"/>
          <w:b/>
          <w:color w:val="000000"/>
          <w:sz w:val="26"/>
          <w:szCs w:val="26"/>
        </w:rPr>
      </w:pPr>
      <w:bookmarkStart w:id="121" w:name="_Toc438458598"/>
      <w:bookmarkStart w:id="122" w:name="_Toc437010585"/>
      <w:r>
        <w:rPr>
          <w:rFonts w:hint="eastAsia" w:ascii="宋体" w:hAnsi="宋体" w:cs="楷体_GB2312"/>
          <w:b/>
          <w:color w:val="000000"/>
          <w:sz w:val="26"/>
          <w:szCs w:val="26"/>
        </w:rPr>
        <w:t>第十五章  深化国资国企改革</w:t>
      </w:r>
      <w:bookmarkEnd w:id="121"/>
      <w:bookmarkEnd w:id="122"/>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做强做优做大国有企业，增强国有经济活力、影响力和抗风险能力，更好服务自治区战略目标。按照商业类和公益类分类推进国有企业改革，完善现代企业制度。完善国有资产管理体制，以管资本为主加强国有资产监管，防止国有资产流失。改革国有资本授权经营体制，推进国有企业股权多元化、资产证券化，组建国有资本投资运营公司，探索有效运营模式。优化国有资本布局，引导国有资本更多向重要行业和关键领域、重点基础设施集中，向前瞻性战略性产业集中，实现国有资本合理流动、保值增值。坚持政企分开、政资分开，推进经营性国有资产集中统一监管。提高国有资本收益上缴公共财政比例。建立国企领导人员分类分层管理制度、市场化选聘职业经理人制度，优化企业薪酬分配制度，深化用人制度改革。妥善解决国企历史遗留问题。</w:t>
      </w:r>
    </w:p>
    <w:p>
      <w:pPr>
        <w:pStyle w:val="3"/>
        <w:spacing w:beforeLines="50" w:afterLines="50" w:line="460" w:lineRule="exact"/>
        <w:rPr>
          <w:rFonts w:ascii="宋体" w:hAnsi="宋体" w:cs="楷体_GB2312"/>
          <w:b/>
          <w:color w:val="000000"/>
          <w:sz w:val="26"/>
          <w:szCs w:val="26"/>
        </w:rPr>
      </w:pPr>
      <w:bookmarkStart w:id="123" w:name="_Toc438458599"/>
      <w:bookmarkStart w:id="124" w:name="_Toc437010586"/>
      <w:r>
        <w:rPr>
          <w:rFonts w:hint="eastAsia" w:ascii="宋体" w:hAnsi="宋体" w:cs="楷体_GB2312"/>
          <w:b/>
          <w:color w:val="000000"/>
          <w:sz w:val="26"/>
          <w:szCs w:val="26"/>
        </w:rPr>
        <w:t>第十六章  深化农村改革</w:t>
      </w:r>
      <w:bookmarkEnd w:id="123"/>
      <w:bookmarkEnd w:id="124"/>
    </w:p>
    <w:p>
      <w:pPr>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加快农村土地承包经营权、宅基地和集体建设用地使用权确权登记颁证，推进农村集体土地产权、土地征收、集体经营性建设用地入市、宅基地制度改革。探索建立城乡统一的建设用地市场和农村产权交易市场，鼓</w:t>
      </w:r>
      <w:r>
        <w:rPr>
          <w:rFonts w:hint="eastAsia" w:ascii="宋体" w:hAnsi="宋体" w:eastAsia="仿宋_GB2312" w:cs="仿宋_GB2312"/>
          <w:color w:val="000000"/>
          <w:spacing w:val="4"/>
          <w:sz w:val="26"/>
          <w:szCs w:val="26"/>
        </w:rPr>
        <w:t>励农村产权转让、出租、入股、抵押等。维护进城落户农民土地承包经营权、宅基地使用权、集体收益分配权。完善农村集体产权权能。深化城乡建设用地增减挂钩、集体建设用地流转、低丘缓坡荒滩等未利用地、工业用地市场化配置等改革。深化国土资源行政审批“审管分离”改革，开展补充耕地指标有偿使用试点，探索农村宅基地有偿使用和退出机制，建立健全自然资源资产产权管理制度。继续深化集体林权制度改革。加快供销合作社、国有林场、农垦和华侨农林场改革，推动条件成熟的华侨农林场与各类产业园区融合发展。</w:t>
      </w:r>
    </w:p>
    <w:p>
      <w:pPr>
        <w:pStyle w:val="3"/>
        <w:spacing w:beforeLines="50" w:afterLines="50"/>
        <w:rPr>
          <w:rFonts w:ascii="宋体" w:hAnsi="宋体" w:cs="楷体_GB2312"/>
          <w:b/>
          <w:color w:val="000000"/>
          <w:sz w:val="26"/>
          <w:szCs w:val="26"/>
        </w:rPr>
      </w:pPr>
      <w:r>
        <w:rPr>
          <w:rFonts w:hint="eastAsia" w:ascii="宋体" w:hAnsi="宋体" w:cs="楷体_GB2312"/>
          <w:b/>
          <w:color w:val="000000"/>
          <w:sz w:val="26"/>
          <w:szCs w:val="26"/>
        </w:rPr>
        <w:t>第十七章  健全现代市场体系</w:t>
      </w:r>
    </w:p>
    <w:p>
      <w:pPr>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深化市场要素配置改革，健全各类商品交易市场，发展劳动力、土地、资本、技术等要素市场，促进商品和生产要素自由流动、平等交换，技术市场交易额年均增长20%。推进价格机制改革，减少政府对价格形成的干预，全面放开竞争性领域商品和服务价格，落实好大用户直购电价格政策，降低电力价格，加强价格调控。保护各种所有制企业产权和合法利益，改善市场预期，破除市场壁垒、地域分割</w:t>
      </w:r>
      <w:r>
        <w:rPr>
          <w:rFonts w:hint="eastAsia" w:ascii="宋体" w:hAnsi="宋体" w:eastAsia="仿宋_GB2312"/>
          <w:color w:val="000000"/>
          <w:sz w:val="26"/>
          <w:szCs w:val="26"/>
        </w:rPr>
        <w:t>和行业垄断，形成统一开放、</w:t>
      </w:r>
      <w:r>
        <w:rPr>
          <w:rFonts w:hint="eastAsia" w:ascii="宋体" w:hAnsi="宋体" w:eastAsia="仿宋_GB2312" w:cs="仿宋_GB2312"/>
          <w:color w:val="000000"/>
          <w:sz w:val="26"/>
          <w:szCs w:val="26"/>
        </w:rPr>
        <w:t>竞争有序的市场体系，营造良好的投资环境。</w:t>
      </w:r>
    </w:p>
    <w:p>
      <w:pPr>
        <w:pStyle w:val="3"/>
        <w:spacing w:beforeLines="50" w:afterLines="50" w:line="460" w:lineRule="exact"/>
        <w:rPr>
          <w:rFonts w:ascii="宋体" w:hAnsi="宋体" w:cs="楷体_GB2312"/>
          <w:b/>
          <w:color w:val="000000"/>
          <w:sz w:val="26"/>
          <w:szCs w:val="26"/>
        </w:rPr>
      </w:pPr>
      <w:bookmarkStart w:id="125" w:name="_Toc438458600"/>
      <w:bookmarkStart w:id="126" w:name="_Toc437010587"/>
      <w:bookmarkStart w:id="127" w:name="_Toc428544882"/>
      <w:bookmarkStart w:id="128" w:name="_Toc422341104"/>
      <w:r>
        <w:rPr>
          <w:rFonts w:hint="eastAsia" w:ascii="宋体" w:hAnsi="宋体" w:cs="楷体_GB2312"/>
          <w:b/>
          <w:color w:val="000000"/>
          <w:sz w:val="26"/>
          <w:szCs w:val="26"/>
        </w:rPr>
        <w:t>第十八章  统筹推进其他领域改革</w:t>
      </w:r>
      <w:bookmarkEnd w:id="125"/>
      <w:bookmarkEnd w:id="126"/>
    </w:p>
    <w:p>
      <w:pPr>
        <w:spacing w:line="460" w:lineRule="exact"/>
        <w:ind w:firstLine="536" w:firstLineChars="200"/>
        <w:rPr>
          <w:rFonts w:ascii="宋体" w:hAnsi="宋体" w:eastAsia="仿宋_GB2312" w:cs="仿宋_GB2312"/>
          <w:color w:val="000000"/>
          <w:spacing w:val="4"/>
          <w:sz w:val="26"/>
          <w:szCs w:val="26"/>
        </w:rPr>
      </w:pPr>
      <w:r>
        <w:rPr>
          <w:rFonts w:hint="eastAsia" w:ascii="宋体" w:hAnsi="宋体" w:eastAsia="仿宋_GB2312" w:cs="仿宋_GB2312"/>
          <w:color w:val="000000"/>
          <w:spacing w:val="4"/>
          <w:sz w:val="26"/>
          <w:szCs w:val="26"/>
        </w:rPr>
        <w:t>充分发挥各类国家和自治区改革试验区的探路先锋作用，锐意改革、大胆创新，形成各具特色的改革开放高地，为全面改革提供示范。深化北部湾经济区综合配套改革，加快推进户籍、港口、园区、通关、金融、人才、行政管理等改革。大力推动东兴和凭祥重点开发开放试验区、桂林旅游和服务业综合改革试验区、粤桂合作特别试验区等体制机制创新。统筹推进文化、科技、教育、医药卫生、社会保障、电力体制、食品药品安全、安全生产监管等领域改革，以及公务用车、盐业体制、行业协会与行政机构脱钩等改革。推动非公有制经济转型升级，进一步开放非公有制资本准入行业和领域，支持其参与国有资本、集体资本交叉持股、相互融合，促进国有企业转换经营机制，发展混合所有制经济。</w:t>
      </w:r>
    </w:p>
    <w:bookmarkEnd w:id="127"/>
    <w:bookmarkEnd w:id="128"/>
    <w:p>
      <w:pPr>
        <w:pStyle w:val="2"/>
        <w:spacing w:beforeLines="80" w:afterLines="80" w:line="460" w:lineRule="exact"/>
        <w:rPr>
          <w:rFonts w:ascii="宋体" w:hAnsi="宋体" w:cs="黑体"/>
          <w:color w:val="000000"/>
          <w:sz w:val="26"/>
          <w:szCs w:val="26"/>
        </w:rPr>
      </w:pPr>
      <w:bookmarkStart w:id="129" w:name="_Toc438458601"/>
      <w:bookmarkStart w:id="130" w:name="_Toc428544885"/>
      <w:bookmarkStart w:id="131" w:name="_Toc437010588"/>
      <w:bookmarkStart w:id="132" w:name="_Toc422340966"/>
      <w:r>
        <w:rPr>
          <w:rFonts w:hint="eastAsia" w:ascii="宋体" w:hAnsi="宋体" w:cs="黑体"/>
          <w:color w:val="000000"/>
          <w:sz w:val="26"/>
          <w:szCs w:val="26"/>
        </w:rPr>
        <w:t>第五篇</w:t>
      </w:r>
      <w:r>
        <w:rPr>
          <w:rFonts w:ascii="宋体" w:hAnsi="宋体" w:cs="黑体"/>
          <w:color w:val="000000"/>
          <w:sz w:val="26"/>
          <w:szCs w:val="26"/>
        </w:rPr>
        <w:t xml:space="preserve">  </w:t>
      </w:r>
      <w:r>
        <w:rPr>
          <w:rFonts w:hint="eastAsia" w:ascii="宋体" w:hAnsi="宋体" w:cs="黑体"/>
          <w:color w:val="000000"/>
          <w:spacing w:val="-4"/>
          <w:sz w:val="26"/>
          <w:szCs w:val="26"/>
        </w:rPr>
        <w:t>强化支撑  构建比较完善的现代基础设施体系</w:t>
      </w:r>
      <w:bookmarkEnd w:id="129"/>
    </w:p>
    <w:bookmarkEnd w:id="130"/>
    <w:bookmarkEnd w:id="131"/>
    <w:bookmarkEnd w:id="132"/>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全面推进基础设施建设攻坚战，围绕服务“一带一路”倡议、支撑四化同步发展，加快完善交通、能源、水利、信息等基础设施，构建功能配套、智能高效、安全便利的现代基础设施体系。</w:t>
      </w:r>
    </w:p>
    <w:p>
      <w:pPr>
        <w:pStyle w:val="3"/>
        <w:spacing w:beforeLines="50" w:afterLines="50" w:line="460" w:lineRule="exact"/>
        <w:rPr>
          <w:rFonts w:ascii="宋体" w:hAnsi="宋体" w:cs="楷体_GB2312"/>
          <w:b/>
          <w:color w:val="000000"/>
          <w:sz w:val="26"/>
          <w:szCs w:val="26"/>
        </w:rPr>
      </w:pPr>
      <w:bookmarkStart w:id="133" w:name="_Toc428544886"/>
      <w:bookmarkStart w:id="134" w:name="_Toc437010589"/>
      <w:bookmarkStart w:id="135" w:name="_Toc422340967"/>
      <w:bookmarkStart w:id="136" w:name="_Toc438458602"/>
      <w:r>
        <w:rPr>
          <w:rFonts w:hint="eastAsia" w:ascii="宋体" w:hAnsi="宋体" w:cs="楷体_GB2312"/>
          <w:b/>
          <w:color w:val="000000"/>
          <w:sz w:val="26"/>
          <w:szCs w:val="26"/>
        </w:rPr>
        <w:t>第十九章  构建现代综合交通运输</w:t>
      </w:r>
      <w:bookmarkEnd w:id="133"/>
      <w:bookmarkEnd w:id="134"/>
      <w:bookmarkEnd w:id="135"/>
      <w:r>
        <w:rPr>
          <w:rFonts w:hint="eastAsia" w:ascii="宋体" w:hAnsi="宋体" w:cs="楷体_GB2312"/>
          <w:b/>
          <w:color w:val="000000"/>
          <w:sz w:val="26"/>
          <w:szCs w:val="26"/>
        </w:rPr>
        <w:t>体系</w:t>
      </w:r>
      <w:bookmarkEnd w:id="136"/>
    </w:p>
    <w:p>
      <w:pPr>
        <w:widowControl/>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以建设面向东盟的国际大通道为目标，强化通道、做强枢纽、优化网络、提升服务，统筹各种运输方式发展，形成内畅外通、便捷高效的“一中心一枢纽五通道五网络”综合交通运输体系。</w:t>
      </w:r>
    </w:p>
    <w:p>
      <w:pPr>
        <w:pStyle w:val="4"/>
        <w:spacing w:beforeLines="50" w:afterLines="50" w:line="460" w:lineRule="exact"/>
        <w:rPr>
          <w:rFonts w:ascii="宋体" w:hAnsi="宋体" w:cs="仿宋_GB2312"/>
          <w:color w:val="000000"/>
          <w:sz w:val="26"/>
          <w:szCs w:val="26"/>
        </w:rPr>
      </w:pPr>
      <w:bookmarkStart w:id="137" w:name="_Toc422340968"/>
      <w:bookmarkStart w:id="138" w:name="_Toc428544887"/>
      <w:bookmarkStart w:id="139" w:name="_Toc437010590"/>
      <w:r>
        <w:rPr>
          <w:rFonts w:hint="eastAsia" w:ascii="宋体" w:hAnsi="宋体" w:cs="仿宋_GB2312"/>
          <w:color w:val="000000"/>
          <w:sz w:val="26"/>
          <w:szCs w:val="26"/>
        </w:rPr>
        <w:t>第一节  构建对外五大通道</w:t>
      </w:r>
      <w:bookmarkEnd w:id="137"/>
      <w:bookmarkEnd w:id="138"/>
      <w:bookmarkEnd w:id="139"/>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围绕“一带一路”和战略支点，构建海上东盟、陆路东盟、衔接“一带一路”、连接西南中南、对接粤港澳“五大通道”，提升出海出边出省通达能力。以</w:t>
      </w:r>
      <w:r>
        <w:rPr>
          <w:rFonts w:ascii="宋体" w:hAnsi="宋体" w:eastAsia="仿宋_GB2312" w:cs="仿宋_GB2312"/>
          <w:color w:val="000000"/>
          <w:sz w:val="26"/>
          <w:szCs w:val="26"/>
        </w:rPr>
        <w:t>北部湾</w:t>
      </w:r>
      <w:r>
        <w:rPr>
          <w:rFonts w:hint="eastAsia" w:ascii="宋体" w:hAnsi="宋体" w:eastAsia="仿宋_GB2312" w:cs="仿宋_GB2312"/>
          <w:color w:val="000000"/>
          <w:sz w:val="26"/>
          <w:szCs w:val="26"/>
        </w:rPr>
        <w:t>区域性国际航运中心为依托，面向东盟及21世纪海上丝绸之路国家，建设海上东盟通道。以南崇经济带为依托，推进连接越南、老挝、柬埔寨、泰国、马来西亚、新加坡等中南半岛国家的跨境铁路、公路建设，建设陆路东盟通道。以南宁、柳州为依托，推进南宁至贵阳高速铁路和高速公路建设，延伸渝新欧国际班列至柳州，打通北上贵阳、重庆、成都、西安、兰州等重点城市的交通线路，建设衔接“一带一路”的南北陆路国际新通道。推进通往滇黔湘三省的铁路、高速公路建设，开辟红水河、右江航道，建设连接西南中南的通道。</w:t>
      </w:r>
      <w:r>
        <w:rPr>
          <w:rFonts w:ascii="宋体" w:hAnsi="宋体" w:eastAsia="仿宋_GB2312" w:cs="仿宋_GB2312"/>
          <w:color w:val="000000"/>
          <w:sz w:val="26"/>
          <w:szCs w:val="26"/>
        </w:rPr>
        <w:t>推进通往粤港澳的铁路</w:t>
      </w:r>
      <w:r>
        <w:rPr>
          <w:rFonts w:hint="eastAsia" w:ascii="宋体" w:hAnsi="宋体" w:eastAsia="仿宋_GB2312" w:cs="仿宋_GB2312"/>
          <w:color w:val="000000"/>
          <w:sz w:val="26"/>
          <w:szCs w:val="26"/>
        </w:rPr>
        <w:t>、</w:t>
      </w:r>
      <w:r>
        <w:rPr>
          <w:rFonts w:ascii="宋体" w:hAnsi="宋体" w:eastAsia="仿宋_GB2312" w:cs="仿宋_GB2312"/>
          <w:color w:val="000000"/>
          <w:sz w:val="26"/>
          <w:szCs w:val="26"/>
        </w:rPr>
        <w:t>高速公路</w:t>
      </w:r>
      <w:r>
        <w:rPr>
          <w:rFonts w:hint="eastAsia" w:ascii="宋体" w:hAnsi="宋体" w:eastAsia="仿宋_GB2312" w:cs="仿宋_GB2312"/>
          <w:color w:val="000000"/>
          <w:sz w:val="26"/>
          <w:szCs w:val="26"/>
        </w:rPr>
        <w:t>、西江干支线</w:t>
      </w:r>
      <w:r>
        <w:rPr>
          <w:rFonts w:ascii="宋体" w:hAnsi="宋体" w:eastAsia="仿宋_GB2312" w:cs="仿宋_GB2312"/>
          <w:color w:val="000000"/>
          <w:sz w:val="26"/>
          <w:szCs w:val="26"/>
        </w:rPr>
        <w:t>建设，</w:t>
      </w:r>
      <w:r>
        <w:rPr>
          <w:rFonts w:hint="eastAsia" w:ascii="宋体" w:hAnsi="宋体" w:eastAsia="仿宋_GB2312" w:cs="仿宋_GB2312"/>
          <w:color w:val="000000"/>
          <w:sz w:val="26"/>
          <w:szCs w:val="26"/>
        </w:rPr>
        <w:t>建设对接</w:t>
      </w:r>
      <w:r>
        <w:rPr>
          <w:rFonts w:ascii="宋体" w:hAnsi="宋体" w:eastAsia="仿宋_GB2312" w:cs="仿宋_GB2312"/>
          <w:color w:val="000000"/>
          <w:sz w:val="26"/>
          <w:szCs w:val="26"/>
        </w:rPr>
        <w:t>粤港澳</w:t>
      </w:r>
      <w:r>
        <w:rPr>
          <w:rFonts w:hint="eastAsia" w:ascii="宋体" w:hAnsi="宋体" w:eastAsia="仿宋_GB2312" w:cs="仿宋_GB2312"/>
          <w:color w:val="000000"/>
          <w:sz w:val="26"/>
          <w:szCs w:val="26"/>
        </w:rPr>
        <w:t>的通道。规划建设南宁至呼和浩特高铁“北上第二通道”。</w:t>
      </w:r>
    </w:p>
    <w:p>
      <w:pPr>
        <w:pStyle w:val="4"/>
        <w:spacing w:beforeLines="50" w:afterLines="50" w:line="460" w:lineRule="exact"/>
        <w:rPr>
          <w:rFonts w:ascii="宋体" w:hAnsi="宋体" w:cs="仿宋_GB2312"/>
          <w:color w:val="000000"/>
          <w:sz w:val="26"/>
          <w:szCs w:val="26"/>
        </w:rPr>
      </w:pPr>
      <w:bookmarkStart w:id="140" w:name="_Toc437010591"/>
      <w:bookmarkStart w:id="141" w:name="_Toc428544888"/>
      <w:bookmarkStart w:id="142" w:name="_Toc422340969"/>
      <w:r>
        <w:rPr>
          <w:rFonts w:hint="eastAsia" w:ascii="宋体" w:hAnsi="宋体" w:cs="仿宋_GB2312"/>
          <w:color w:val="000000"/>
          <w:sz w:val="26"/>
          <w:szCs w:val="26"/>
        </w:rPr>
        <w:t>第二节  优化区内五张网络</w:t>
      </w:r>
      <w:bookmarkEnd w:id="140"/>
      <w:bookmarkEnd w:id="141"/>
      <w:bookmarkEnd w:id="142"/>
    </w:p>
    <w:p>
      <w:pPr>
        <w:spacing w:line="460" w:lineRule="exact"/>
        <w:ind w:firstLine="520" w:firstLineChars="200"/>
        <w:rPr>
          <w:rFonts w:ascii="仿宋_GB2312" w:hAnsi="宋体" w:eastAsia="仿宋_GB2312" w:cs="仿宋_GB2312"/>
          <w:b/>
          <w:color w:val="000000"/>
          <w:sz w:val="26"/>
          <w:szCs w:val="26"/>
        </w:rPr>
      </w:pPr>
      <w:r>
        <w:rPr>
          <w:rFonts w:hint="eastAsia" w:ascii="宋体" w:hAnsi="宋体" w:eastAsia="仿宋_GB2312" w:cs="仿宋_GB2312"/>
          <w:color w:val="000000"/>
          <w:sz w:val="26"/>
          <w:szCs w:val="26"/>
        </w:rPr>
        <w:t>以</w:t>
      </w:r>
      <w:r>
        <w:rPr>
          <w:rFonts w:ascii="宋体" w:hAnsi="宋体" w:eastAsia="仿宋_GB2312" w:cs="仿宋_GB2312"/>
          <w:color w:val="000000"/>
          <w:sz w:val="26"/>
          <w:szCs w:val="26"/>
        </w:rPr>
        <w:t>扩总量、优存量、补短板、</w:t>
      </w:r>
      <w:r>
        <w:rPr>
          <w:rFonts w:hint="eastAsia" w:ascii="宋体" w:hAnsi="宋体" w:eastAsia="仿宋_GB2312" w:cs="仿宋_GB2312"/>
          <w:color w:val="000000"/>
          <w:sz w:val="26"/>
          <w:szCs w:val="26"/>
        </w:rPr>
        <w:t>破</w:t>
      </w:r>
      <w:r>
        <w:rPr>
          <w:rFonts w:ascii="宋体" w:hAnsi="宋体" w:eastAsia="仿宋_GB2312" w:cs="仿宋_GB2312"/>
          <w:color w:val="000000"/>
          <w:sz w:val="26"/>
          <w:szCs w:val="26"/>
        </w:rPr>
        <w:t>瓶颈</w:t>
      </w:r>
      <w:r>
        <w:rPr>
          <w:rFonts w:hint="eastAsia" w:ascii="宋体" w:hAnsi="宋体" w:eastAsia="仿宋_GB2312" w:cs="仿宋_GB2312"/>
          <w:color w:val="000000"/>
          <w:sz w:val="26"/>
          <w:szCs w:val="26"/>
        </w:rPr>
        <w:t>为目标</w:t>
      </w:r>
      <w:r>
        <w:rPr>
          <w:rFonts w:ascii="宋体" w:hAnsi="宋体" w:eastAsia="仿宋_GB2312" w:cs="仿宋_GB2312"/>
          <w:color w:val="000000"/>
          <w:sz w:val="26"/>
          <w:szCs w:val="26"/>
        </w:rPr>
        <w:t>，加快铁路、公路、水运、航空</w:t>
      </w:r>
      <w:r>
        <w:rPr>
          <w:rFonts w:hint="eastAsia" w:ascii="宋体" w:hAnsi="宋体" w:eastAsia="仿宋_GB2312" w:cs="仿宋_GB2312"/>
          <w:color w:val="000000"/>
          <w:sz w:val="26"/>
          <w:szCs w:val="26"/>
        </w:rPr>
        <w:t>、油气管网“五</w:t>
      </w:r>
      <w:r>
        <w:rPr>
          <w:rFonts w:ascii="宋体" w:hAnsi="宋体" w:eastAsia="仿宋_GB2312" w:cs="仿宋_GB2312"/>
          <w:color w:val="000000"/>
          <w:sz w:val="26"/>
          <w:szCs w:val="26"/>
        </w:rPr>
        <w:t>张网络</w:t>
      </w:r>
      <w:r>
        <w:rPr>
          <w:rFonts w:hint="eastAsia" w:ascii="宋体" w:hAnsi="宋体" w:eastAsia="仿宋_GB2312" w:cs="仿宋_GB2312"/>
          <w:color w:val="000000"/>
          <w:sz w:val="26"/>
          <w:szCs w:val="26"/>
        </w:rPr>
        <w:t>”</w:t>
      </w:r>
      <w:r>
        <w:rPr>
          <w:rFonts w:ascii="宋体" w:hAnsi="宋体" w:eastAsia="仿宋_GB2312" w:cs="仿宋_GB2312"/>
          <w:color w:val="000000"/>
          <w:sz w:val="26"/>
          <w:szCs w:val="26"/>
        </w:rPr>
        <w:t>建设，</w:t>
      </w:r>
      <w:r>
        <w:rPr>
          <w:rFonts w:hint="eastAsia" w:ascii="宋体" w:hAnsi="宋体" w:eastAsia="仿宋_GB2312" w:cs="仿宋_GB2312"/>
          <w:color w:val="000000"/>
          <w:sz w:val="26"/>
          <w:szCs w:val="26"/>
        </w:rPr>
        <w:t>建成</w:t>
      </w:r>
      <w:r>
        <w:rPr>
          <w:rFonts w:ascii="宋体" w:hAnsi="宋体" w:eastAsia="仿宋_GB2312" w:cs="仿宋_GB2312"/>
          <w:color w:val="000000"/>
          <w:sz w:val="26"/>
          <w:szCs w:val="26"/>
        </w:rPr>
        <w:t>覆盖</w:t>
      </w:r>
      <w:r>
        <w:rPr>
          <w:rFonts w:hint="eastAsia" w:ascii="宋体" w:hAnsi="宋体" w:eastAsia="仿宋_GB2312" w:cs="仿宋_GB2312"/>
          <w:color w:val="000000"/>
          <w:sz w:val="26"/>
          <w:szCs w:val="26"/>
        </w:rPr>
        <w:t>面</w:t>
      </w:r>
      <w:r>
        <w:rPr>
          <w:rFonts w:ascii="宋体" w:hAnsi="宋体" w:eastAsia="仿宋_GB2312" w:cs="仿宋_GB2312"/>
          <w:color w:val="000000"/>
          <w:sz w:val="26"/>
          <w:szCs w:val="26"/>
        </w:rPr>
        <w:t>广、</w:t>
      </w:r>
      <w:r>
        <w:rPr>
          <w:rFonts w:hint="eastAsia" w:ascii="宋体" w:hAnsi="宋体" w:eastAsia="仿宋_GB2312" w:cs="仿宋_GB2312"/>
          <w:color w:val="000000"/>
          <w:sz w:val="26"/>
          <w:szCs w:val="26"/>
        </w:rPr>
        <w:t>相互衔接的区内</w:t>
      </w:r>
      <w:r>
        <w:rPr>
          <w:rFonts w:ascii="宋体" w:hAnsi="宋体" w:eastAsia="仿宋_GB2312" w:cs="仿宋_GB2312"/>
          <w:color w:val="000000"/>
          <w:sz w:val="26"/>
          <w:szCs w:val="26"/>
        </w:rPr>
        <w:t>综合交通运输网络。</w:t>
      </w:r>
    </w:p>
    <w:p>
      <w:pPr>
        <w:spacing w:line="460" w:lineRule="exact"/>
        <w:ind w:firstLine="522" w:firstLineChars="200"/>
        <w:rPr>
          <w:rFonts w:ascii="宋体" w:hAnsi="宋体" w:eastAsia="仿宋_GB2312" w:cs="仿宋_GB2312"/>
          <w:color w:val="000000"/>
          <w:sz w:val="26"/>
          <w:szCs w:val="26"/>
        </w:rPr>
      </w:pPr>
      <w:r>
        <w:rPr>
          <w:rFonts w:hint="eastAsia" w:ascii="宋体" w:hAnsi="宋体" w:eastAsia="仿宋_GB2312" w:cs="仿宋_GB2312"/>
          <w:b/>
          <w:color w:val="000000"/>
          <w:sz w:val="26"/>
          <w:szCs w:val="26"/>
        </w:rPr>
        <w:t>建设快速</w:t>
      </w:r>
      <w:r>
        <w:rPr>
          <w:rFonts w:ascii="宋体" w:hAnsi="宋体" w:eastAsia="仿宋_GB2312" w:cs="仿宋_GB2312"/>
          <w:b/>
          <w:color w:val="000000"/>
          <w:sz w:val="26"/>
          <w:szCs w:val="26"/>
        </w:rPr>
        <w:t>大能力铁路网络。</w:t>
      </w:r>
      <w:r>
        <w:rPr>
          <w:rFonts w:hint="eastAsia" w:ascii="宋体" w:hAnsi="宋体" w:eastAsia="仿宋_GB2312" w:cs="仿宋_GB2312"/>
          <w:color w:val="000000"/>
          <w:sz w:val="26"/>
          <w:szCs w:val="26"/>
        </w:rPr>
        <w:t>建成以南宁为中心的客货并重、成环配套的“一环四纵四横”铁路网络，实现市市通高铁，铁路营业里程达到6000公里左右，其中高铁突破2000公里，铁路复线率、电气化率高于全国平均水平。加快建设连接中心城市和大县城之间的快速铁路，利用既有线开行城际列车，构建北部湾城市群、桂中城镇群等城际铁路通道，打通桂东南城镇群连接珠三角的城际铁路通道，建成</w:t>
      </w:r>
      <w:r>
        <w:rPr>
          <w:rFonts w:ascii="宋体" w:hAnsi="宋体" w:eastAsia="仿宋_GB2312" w:cs="仿宋_GB2312"/>
          <w:color w:val="000000"/>
          <w:sz w:val="26"/>
          <w:szCs w:val="26"/>
        </w:rPr>
        <w:t>快速铁路网。实施既有线铁路扩能改造，形成大能力铁路货运网，完善连通北部湾港口</w:t>
      </w:r>
      <w:r>
        <w:rPr>
          <w:rFonts w:hint="eastAsia" w:ascii="宋体" w:hAnsi="宋体" w:eastAsia="仿宋_GB2312" w:cs="仿宋_GB2312"/>
          <w:color w:val="000000"/>
          <w:sz w:val="26"/>
          <w:szCs w:val="26"/>
        </w:rPr>
        <w:t>、</w:t>
      </w:r>
      <w:r>
        <w:rPr>
          <w:rFonts w:ascii="宋体" w:hAnsi="宋体" w:eastAsia="仿宋_GB2312" w:cs="仿宋_GB2312"/>
          <w:color w:val="000000"/>
          <w:sz w:val="26"/>
          <w:szCs w:val="26"/>
        </w:rPr>
        <w:t>西江黄金水道和重</w:t>
      </w:r>
      <w:r>
        <w:rPr>
          <w:rFonts w:hint="eastAsia" w:ascii="宋体" w:hAnsi="宋体" w:eastAsia="仿宋_GB2312" w:cs="仿宋_GB2312"/>
          <w:color w:val="000000"/>
          <w:sz w:val="26"/>
          <w:szCs w:val="26"/>
        </w:rPr>
        <w:t>点</w:t>
      </w:r>
      <w:r>
        <w:rPr>
          <w:rFonts w:ascii="宋体" w:hAnsi="宋体" w:eastAsia="仿宋_GB2312" w:cs="仿宋_GB2312"/>
          <w:color w:val="000000"/>
          <w:sz w:val="26"/>
          <w:szCs w:val="26"/>
        </w:rPr>
        <w:t>产业园区的支线铁路。</w:t>
      </w:r>
    </w:p>
    <w:p>
      <w:pPr>
        <w:spacing w:line="456" w:lineRule="exact"/>
        <w:ind w:firstLine="546" w:firstLineChars="200"/>
        <w:rPr>
          <w:rFonts w:ascii="宋体" w:hAnsi="宋体" w:eastAsia="仿宋_GB2312"/>
          <w:color w:val="000000"/>
          <w:spacing w:val="6"/>
          <w:sz w:val="26"/>
          <w:szCs w:val="26"/>
        </w:rPr>
      </w:pPr>
      <w:r>
        <w:rPr>
          <w:rFonts w:hint="eastAsia" w:ascii="宋体" w:hAnsi="宋体" w:eastAsia="仿宋_GB2312"/>
          <w:b/>
          <w:color w:val="000000"/>
          <w:spacing w:val="6"/>
          <w:sz w:val="26"/>
          <w:szCs w:val="26"/>
        </w:rPr>
        <w:t>完善等级高覆盖广的公路网络。</w:t>
      </w:r>
      <w:r>
        <w:rPr>
          <w:rFonts w:hint="eastAsia" w:ascii="宋体" w:hAnsi="宋体" w:eastAsia="仿宋_GB2312" w:cs="仿宋_GB2312"/>
          <w:color w:val="000000"/>
          <w:spacing w:val="6"/>
          <w:sz w:val="26"/>
          <w:szCs w:val="26"/>
        </w:rPr>
        <w:t>构建“六横七纵八支线”高速公路网络，基本</w:t>
      </w:r>
      <w:r>
        <w:rPr>
          <w:rFonts w:hint="eastAsia" w:ascii="宋体" w:hAnsi="宋体" w:eastAsia="仿宋_GB2312"/>
          <w:color w:val="000000"/>
          <w:spacing w:val="6"/>
          <w:sz w:val="26"/>
          <w:szCs w:val="26"/>
        </w:rPr>
        <w:t>实现县县通高速、乡乡通油路，具备条件的建制村通硬化路，建设自然村屯硬化路，公路总里程达到13万公里，其中高速公路7000公里、二级以上普通公路17000公里。实施国省公路扩能改造，建设一批二级以上公路，以及连接港口、机场、铁路站场的集疏运线路和产业园区、旅游景区的重点路段，推进老龄油路改造和县与县、乡与乡之间道路建设，大幅提升乡村公路通达深度，形成覆盖面广、保障能力强的基础公路网络。</w:t>
      </w:r>
    </w:p>
    <w:p>
      <w:pPr>
        <w:spacing w:line="456" w:lineRule="exact"/>
        <w:ind w:firstLine="522" w:firstLineChars="200"/>
        <w:rPr>
          <w:rFonts w:ascii="宋体" w:hAnsi="宋体" w:eastAsia="仿宋_GB2312"/>
          <w:color w:val="000000"/>
          <w:sz w:val="26"/>
          <w:szCs w:val="26"/>
        </w:rPr>
      </w:pPr>
      <w:r>
        <w:rPr>
          <w:rFonts w:hint="eastAsia" w:ascii="宋体" w:hAnsi="宋体" w:eastAsia="仿宋_GB2312"/>
          <w:b/>
          <w:color w:val="000000"/>
          <w:sz w:val="26"/>
          <w:szCs w:val="26"/>
        </w:rPr>
        <w:t>建设高效畅通的内河水运网络。</w:t>
      </w:r>
      <w:r>
        <w:rPr>
          <w:rFonts w:hint="eastAsia" w:ascii="宋体" w:hAnsi="宋体" w:eastAsia="仿宋_GB2312"/>
          <w:color w:val="000000"/>
          <w:sz w:val="26"/>
          <w:szCs w:val="26"/>
        </w:rPr>
        <w:t>实现西江全线规划河段通航，千吨级以上高等级航道超过1500公里，内河港口综合吞吐能力1.5亿吨。加大西江干线航道扩能改造，建成上游通、中游畅、下游优的西江干线，加快建设红水河、柳黔江、右江、左江、桂江等重要干支流航道，推动绣江、贺江复航，打造“三主四辅”现代化港口群，形成“一干七支”内河水运网络。</w:t>
      </w:r>
    </w:p>
    <w:p>
      <w:pPr>
        <w:spacing w:line="456" w:lineRule="exact"/>
        <w:ind w:firstLine="522" w:firstLineChars="200"/>
        <w:rPr>
          <w:rFonts w:ascii="宋体" w:hAnsi="宋体" w:eastAsia="仿宋_GB2312"/>
          <w:color w:val="000000"/>
          <w:sz w:val="26"/>
          <w:szCs w:val="26"/>
        </w:rPr>
      </w:pPr>
      <w:r>
        <w:rPr>
          <w:rFonts w:hint="eastAsia" w:ascii="宋体" w:hAnsi="宋体" w:eastAsia="仿宋_GB2312"/>
          <w:b/>
          <w:color w:val="000000"/>
          <w:sz w:val="26"/>
          <w:szCs w:val="26"/>
        </w:rPr>
        <w:t>建设便捷高效的航空网络。</w:t>
      </w:r>
      <w:r>
        <w:rPr>
          <w:rFonts w:hint="eastAsia" w:ascii="宋体" w:hAnsi="宋体" w:eastAsia="仿宋_GB2312"/>
          <w:color w:val="000000"/>
          <w:sz w:val="26"/>
          <w:szCs w:val="26"/>
        </w:rPr>
        <w:t>基本实现民航全覆盖，民用机场达到9个，旅客吞吐能力3500万人次。进一步提升南宁吴圩、桂林两江国际机场运输保障能力，优化支线机场布局。积极发展通用航空，新建一批通用机场。加密面向东盟和国内主要城市间的航班和航线，推进军民航分离，形成高效、迅捷、安全的“两干七支”航空运输网络。</w:t>
      </w:r>
    </w:p>
    <w:p>
      <w:pPr>
        <w:tabs>
          <w:tab w:val="left" w:pos="2240"/>
        </w:tabs>
        <w:spacing w:line="456" w:lineRule="exact"/>
        <w:ind w:firstLine="538" w:firstLineChars="200"/>
        <w:rPr>
          <w:rFonts w:ascii="宋体" w:hAnsi="宋体" w:eastAsia="仿宋_GB2312"/>
          <w:color w:val="000000"/>
          <w:spacing w:val="4"/>
          <w:sz w:val="32"/>
          <w:szCs w:val="32"/>
        </w:rPr>
      </w:pPr>
      <w:r>
        <w:rPr>
          <w:rFonts w:hint="eastAsia" w:ascii="宋体" w:hAnsi="宋体" w:eastAsia="仿宋_GB2312"/>
          <w:b/>
          <w:color w:val="000000"/>
          <w:spacing w:val="4"/>
          <w:sz w:val="26"/>
          <w:szCs w:val="26"/>
        </w:rPr>
        <w:t>建设油气管网。</w:t>
      </w:r>
      <w:r>
        <w:rPr>
          <w:rFonts w:hint="eastAsia" w:ascii="宋体" w:hAnsi="宋体" w:eastAsia="仿宋_GB2312"/>
          <w:color w:val="000000"/>
          <w:spacing w:val="4"/>
          <w:sz w:val="26"/>
          <w:szCs w:val="26"/>
        </w:rPr>
        <w:t>加快实施西气东输二线、中缅油气管线、液化天然气上岸等重大工程，推进天然气支线管网及县域管网同步配套建设。布局完善城市管网和城市加油站、</w:t>
      </w:r>
      <w:r>
        <w:rPr>
          <w:rFonts w:hint="eastAsia" w:ascii="宋体" w:hAnsi="宋体" w:eastAsia="仿宋_GB2312"/>
          <w:color w:val="000000"/>
          <w:spacing w:val="6"/>
          <w:sz w:val="26"/>
          <w:szCs w:val="26"/>
        </w:rPr>
        <w:t>沿江加气站，加快公交车、出租车、内河运输船、陶瓷等行业“油改气”、“煤改气”步伐，推进冷热电联产分布式气电厂建设，扩大天然气消费，天然气消费占能源消费总量比重达到7%以</w:t>
      </w:r>
      <w:r>
        <w:rPr>
          <w:rFonts w:hint="eastAsia" w:ascii="宋体" w:hAnsi="宋体" w:eastAsia="仿宋_GB2312"/>
          <w:color w:val="000000"/>
          <w:spacing w:val="4"/>
          <w:sz w:val="26"/>
          <w:szCs w:val="26"/>
        </w:rPr>
        <w:t>上。</w:t>
      </w:r>
    </w:p>
    <w:p>
      <w:pPr>
        <w:tabs>
          <w:tab w:val="left" w:pos="2240"/>
        </w:tabs>
        <w:spacing w:line="560" w:lineRule="exact"/>
        <w:jc w:val="center"/>
        <w:rPr>
          <w:rFonts w:ascii="黑体" w:hAnsi="黑体" w:eastAsia="黑体"/>
          <w:color w:val="000000"/>
          <w:szCs w:val="21"/>
        </w:rPr>
      </w:pPr>
      <w:bookmarkStart w:id="143" w:name="_Toc437010592"/>
      <w:bookmarkStart w:id="144" w:name="_Toc422340970"/>
      <w:bookmarkStart w:id="145" w:name="_Toc428544889"/>
      <w:r>
        <w:rPr>
          <w:color w:val="000000"/>
        </w:rPr>
        <w:drawing>
          <wp:anchor distT="0" distB="0" distL="114300" distR="114300" simplePos="0" relativeHeight="251660288" behindDoc="1" locked="0" layoutInCell="1" allowOverlap="1">
            <wp:simplePos x="0" y="0"/>
            <wp:positionH relativeFrom="column">
              <wp:posOffset>34925</wp:posOffset>
            </wp:positionH>
            <wp:positionV relativeFrom="paragraph">
              <wp:posOffset>147955</wp:posOffset>
            </wp:positionV>
            <wp:extent cx="3923030" cy="2861310"/>
            <wp:effectExtent l="19050" t="0" r="1270" b="0"/>
            <wp:wrapNone/>
            <wp:docPr id="116" name="图片 116" descr="铁路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铁路121"/>
                    <pic:cNvPicPr>
                      <a:picLocks noChangeAspect="1" noChangeArrowheads="1"/>
                    </pic:cNvPicPr>
                  </pic:nvPicPr>
                  <pic:blipFill>
                    <a:blip r:embed="rId12" cstate="print"/>
                    <a:srcRect/>
                    <a:stretch>
                      <a:fillRect/>
                    </a:stretch>
                  </pic:blipFill>
                  <pic:spPr>
                    <a:xfrm>
                      <a:off x="0" y="0"/>
                      <a:ext cx="3923030" cy="2861310"/>
                    </a:xfrm>
                    <a:prstGeom prst="rect">
                      <a:avLst/>
                    </a:prstGeom>
                    <a:noFill/>
                    <a:ln w="9525">
                      <a:noFill/>
                      <a:miter lim="800000"/>
                      <a:headEnd/>
                      <a:tailEnd/>
                    </a:ln>
                  </pic:spPr>
                </pic:pic>
              </a:graphicData>
            </a:graphic>
          </wp:anchor>
        </w:drawing>
      </w: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tabs>
          <w:tab w:val="left" w:pos="2240"/>
        </w:tabs>
        <w:spacing w:beforeLines="50" w:line="560" w:lineRule="exact"/>
        <w:jc w:val="center"/>
        <w:rPr>
          <w:rFonts w:ascii="黑体" w:hAnsi="黑体" w:eastAsia="黑体"/>
          <w:color w:val="000000"/>
          <w:sz w:val="20"/>
          <w:szCs w:val="21"/>
        </w:rPr>
      </w:pPr>
      <w:r>
        <w:rPr>
          <w:rFonts w:hint="eastAsia" w:ascii="黑体" w:hAnsi="黑体" w:eastAsia="黑体"/>
          <w:color w:val="000000"/>
          <w:sz w:val="20"/>
          <w:szCs w:val="21"/>
        </w:rPr>
        <w:t>图2 ：一环四纵四横铁路网络示意图</w:t>
      </w: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r>
        <w:rPr>
          <w:color w:val="000000"/>
        </w:rPr>
        <w:drawing>
          <wp:anchor distT="0" distB="0" distL="114300" distR="114300" simplePos="0" relativeHeight="251658240" behindDoc="1" locked="0" layoutInCell="1" allowOverlap="1">
            <wp:simplePos x="0" y="0"/>
            <wp:positionH relativeFrom="column">
              <wp:posOffset>27940</wp:posOffset>
            </wp:positionH>
            <wp:positionV relativeFrom="paragraph">
              <wp:posOffset>-23495</wp:posOffset>
            </wp:positionV>
            <wp:extent cx="3891915" cy="2865755"/>
            <wp:effectExtent l="19050" t="0" r="0" b="0"/>
            <wp:wrapNone/>
            <wp:docPr id="113" name="图片 113" descr="高速公路201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高速公路20160120"/>
                    <pic:cNvPicPr>
                      <a:picLocks noChangeAspect="1" noChangeArrowheads="1"/>
                    </pic:cNvPicPr>
                  </pic:nvPicPr>
                  <pic:blipFill>
                    <a:blip r:embed="rId13" cstate="print"/>
                    <a:srcRect/>
                    <a:stretch>
                      <a:fillRect/>
                    </a:stretch>
                  </pic:blipFill>
                  <pic:spPr>
                    <a:xfrm>
                      <a:off x="0" y="0"/>
                      <a:ext cx="3891915" cy="2865755"/>
                    </a:xfrm>
                    <a:prstGeom prst="rect">
                      <a:avLst/>
                    </a:prstGeom>
                    <a:noFill/>
                    <a:ln w="9525">
                      <a:noFill/>
                      <a:miter lim="800000"/>
                      <a:headEnd/>
                      <a:tailEnd/>
                    </a:ln>
                  </pic:spPr>
                </pic:pic>
              </a:graphicData>
            </a:graphic>
          </wp:anchor>
        </w:drawing>
      </w: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tabs>
          <w:tab w:val="left" w:pos="2240"/>
        </w:tabs>
        <w:spacing w:line="560" w:lineRule="exact"/>
        <w:jc w:val="center"/>
        <w:rPr>
          <w:rFonts w:ascii="黑体" w:hAnsi="黑体" w:eastAsia="黑体"/>
          <w:color w:val="000000"/>
          <w:szCs w:val="21"/>
        </w:rPr>
      </w:pPr>
    </w:p>
    <w:p>
      <w:pPr>
        <w:jc w:val="center"/>
        <w:rPr>
          <w:rFonts w:ascii="黑体" w:hAnsi="黑体" w:eastAsia="黑体"/>
          <w:color w:val="000000"/>
          <w:szCs w:val="21"/>
        </w:rPr>
      </w:pPr>
    </w:p>
    <w:p>
      <w:pPr>
        <w:jc w:val="center"/>
        <w:rPr>
          <w:rFonts w:ascii="黑体" w:hAnsi="黑体" w:eastAsia="黑体"/>
          <w:color w:val="000000"/>
          <w:szCs w:val="21"/>
        </w:rPr>
      </w:pPr>
    </w:p>
    <w:p>
      <w:pPr>
        <w:jc w:val="center"/>
        <w:rPr>
          <w:rFonts w:ascii="黑体" w:hAnsi="黑体" w:eastAsia="黑体"/>
          <w:color w:val="000000"/>
          <w:szCs w:val="21"/>
        </w:rPr>
      </w:pPr>
    </w:p>
    <w:p>
      <w:pPr>
        <w:jc w:val="center"/>
        <w:rPr>
          <w:rFonts w:ascii="黑体" w:hAnsi="黑体" w:eastAsia="黑体"/>
          <w:color w:val="000000"/>
          <w:szCs w:val="21"/>
        </w:rPr>
      </w:pPr>
    </w:p>
    <w:p>
      <w:pPr>
        <w:jc w:val="center"/>
        <w:rPr>
          <w:rFonts w:ascii="黑体" w:hAnsi="黑体" w:eastAsia="黑体"/>
          <w:color w:val="000000"/>
          <w:szCs w:val="21"/>
        </w:rPr>
      </w:pPr>
    </w:p>
    <w:p>
      <w:pPr>
        <w:jc w:val="center"/>
        <w:rPr>
          <w:rFonts w:ascii="黑体" w:hAnsi="黑体" w:eastAsia="黑体"/>
          <w:color w:val="000000"/>
          <w:sz w:val="20"/>
          <w:szCs w:val="21"/>
        </w:rPr>
      </w:pPr>
      <w:r>
        <w:rPr>
          <w:rFonts w:hint="eastAsia" w:ascii="黑体" w:hAnsi="黑体" w:eastAsia="黑体"/>
          <w:color w:val="000000"/>
          <w:sz w:val="20"/>
          <w:szCs w:val="21"/>
        </w:rPr>
        <w:t>图3：六横七纵八支线高速公路网络示意图</w:t>
      </w:r>
    </w:p>
    <w:p>
      <w:pPr>
        <w:pStyle w:val="4"/>
        <w:spacing w:beforeLines="80" w:afterLines="50" w:line="460" w:lineRule="exact"/>
        <w:rPr>
          <w:rFonts w:ascii="宋体" w:hAnsi="宋体" w:cs="仿宋_GB2312"/>
          <w:color w:val="000000"/>
          <w:sz w:val="26"/>
          <w:szCs w:val="26"/>
        </w:rPr>
      </w:pPr>
      <w:r>
        <w:rPr>
          <w:rFonts w:hint="eastAsia" w:ascii="宋体" w:hAnsi="宋体" w:cs="仿宋_GB2312"/>
          <w:color w:val="000000"/>
          <w:sz w:val="26"/>
          <w:szCs w:val="26"/>
        </w:rPr>
        <w:t xml:space="preserve">第三节 </w:t>
      </w:r>
      <w:r>
        <w:rPr>
          <w:rFonts w:ascii="宋体" w:hAnsi="宋体" w:cs="仿宋_GB2312"/>
          <w:color w:val="000000"/>
          <w:sz w:val="26"/>
          <w:szCs w:val="26"/>
        </w:rPr>
        <w:t xml:space="preserve"> </w:t>
      </w:r>
      <w:r>
        <w:rPr>
          <w:rFonts w:hint="eastAsia" w:ascii="宋体" w:hAnsi="宋体" w:cs="仿宋_GB2312"/>
          <w:color w:val="000000"/>
          <w:sz w:val="26"/>
          <w:szCs w:val="26"/>
        </w:rPr>
        <w:t>建设北部湾区域性国际航运中心</w:t>
      </w:r>
      <w:bookmarkEnd w:id="143"/>
      <w:bookmarkEnd w:id="144"/>
      <w:bookmarkEnd w:id="145"/>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实施港口能力提升、货运畅通、港航服务重大工程，建设现代化港口集群，深化港口对外开放，引进国际港口运营商合作建设，打造具有全球竞争力的国际大港，港口吞吐能力达到4.5亿吨，集装箱吞吐能力接近千万标箱。加快建设</w:t>
      </w:r>
      <w:r>
        <w:rPr>
          <w:rFonts w:ascii="宋体" w:hAnsi="宋体" w:eastAsia="仿宋_GB2312" w:cs="仿宋_GB2312"/>
          <w:color w:val="000000"/>
          <w:sz w:val="26"/>
          <w:szCs w:val="26"/>
        </w:rPr>
        <w:t>深水航道、大能力</w:t>
      </w:r>
      <w:r>
        <w:rPr>
          <w:rFonts w:hint="eastAsia" w:ascii="宋体" w:hAnsi="宋体" w:eastAsia="仿宋_GB2312" w:cs="仿宋_GB2312"/>
          <w:color w:val="000000"/>
          <w:sz w:val="26"/>
          <w:szCs w:val="26"/>
        </w:rPr>
        <w:t>泊位、集装箱码头等，优化港口功能，提升港口吞吐能力。加强港区与铁路、公路、管道等运输方式衔接，完善港口集疏运体系，提高多式联运水平，扩大口岸开放，完善通关设施，建立便捷高效的运输协调机制，实现国际运输便利化。建设临港现代物流园区和北部湾港航服务集聚区，发展金融、保险、商贸、海事、信息等港航服务业。完善港口布局，加强揽货力量，优化和</w:t>
      </w:r>
      <w:r>
        <w:rPr>
          <w:rFonts w:ascii="宋体" w:hAnsi="宋体" w:eastAsia="仿宋_GB2312" w:cs="仿宋_GB2312"/>
          <w:color w:val="000000"/>
          <w:sz w:val="26"/>
          <w:szCs w:val="26"/>
        </w:rPr>
        <w:t>加密通往东盟及世界各国主要港口航线，</w:t>
      </w:r>
      <w:r>
        <w:rPr>
          <w:rFonts w:hint="eastAsia" w:ascii="宋体" w:hAnsi="宋体" w:eastAsia="仿宋_GB2312" w:cs="仿宋_GB2312"/>
          <w:color w:val="000000"/>
          <w:sz w:val="26"/>
          <w:szCs w:val="26"/>
        </w:rPr>
        <w:t>开发西南中南地区腹地无水港业务，增强港口</w:t>
      </w:r>
      <w:r>
        <w:rPr>
          <w:rFonts w:ascii="宋体" w:hAnsi="宋体" w:eastAsia="仿宋_GB2312" w:cs="仿宋_GB2312"/>
          <w:color w:val="000000"/>
          <w:sz w:val="26"/>
          <w:szCs w:val="26"/>
        </w:rPr>
        <w:t>辐射</w:t>
      </w:r>
      <w:r>
        <w:rPr>
          <w:rFonts w:hint="eastAsia" w:ascii="宋体" w:hAnsi="宋体" w:eastAsia="仿宋_GB2312" w:cs="仿宋_GB2312"/>
          <w:color w:val="000000"/>
          <w:sz w:val="26"/>
          <w:szCs w:val="26"/>
        </w:rPr>
        <w:t>能</w:t>
      </w:r>
      <w:r>
        <w:rPr>
          <w:rFonts w:ascii="宋体" w:hAnsi="宋体" w:eastAsia="仿宋_GB2312" w:cs="仿宋_GB2312"/>
          <w:color w:val="000000"/>
          <w:sz w:val="26"/>
          <w:szCs w:val="26"/>
        </w:rPr>
        <w:t>力</w:t>
      </w:r>
      <w:r>
        <w:rPr>
          <w:rFonts w:hint="eastAsia" w:ascii="宋体" w:hAnsi="宋体" w:eastAsia="仿宋_GB2312" w:cs="仿宋_GB2312"/>
          <w:color w:val="000000"/>
          <w:sz w:val="26"/>
          <w:szCs w:val="26"/>
        </w:rPr>
        <w:t>。</w:t>
      </w:r>
    </w:p>
    <w:p>
      <w:pPr>
        <w:pStyle w:val="4"/>
        <w:spacing w:beforeLines="50" w:afterLines="50" w:line="460" w:lineRule="exact"/>
        <w:rPr>
          <w:rFonts w:ascii="宋体" w:hAnsi="宋体" w:cs="仿宋_GB2312"/>
          <w:color w:val="000000"/>
          <w:sz w:val="26"/>
          <w:szCs w:val="26"/>
        </w:rPr>
      </w:pPr>
      <w:bookmarkStart w:id="146" w:name="_Toc437010593"/>
      <w:bookmarkStart w:id="147" w:name="_Toc428544890"/>
      <w:bookmarkStart w:id="148" w:name="_Toc422340971"/>
      <w:r>
        <w:rPr>
          <w:rFonts w:hint="eastAsia" w:ascii="宋体" w:hAnsi="宋体" w:cs="仿宋_GB2312"/>
          <w:color w:val="000000"/>
          <w:sz w:val="26"/>
          <w:szCs w:val="26"/>
        </w:rPr>
        <w:t>第四节  打造综合交通枢纽</w:t>
      </w:r>
      <w:bookmarkEnd w:id="146"/>
      <w:bookmarkEnd w:id="147"/>
      <w:bookmarkEnd w:id="148"/>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以</w:t>
      </w:r>
      <w:r>
        <w:rPr>
          <w:rFonts w:ascii="宋体" w:hAnsi="宋体" w:eastAsia="仿宋_GB2312" w:cs="仿宋_GB2312"/>
          <w:color w:val="000000"/>
          <w:sz w:val="26"/>
          <w:szCs w:val="26"/>
        </w:rPr>
        <w:t>南宁火车东站、</w:t>
      </w:r>
      <w:r>
        <w:rPr>
          <w:rFonts w:hint="eastAsia" w:ascii="宋体" w:hAnsi="宋体" w:eastAsia="仿宋_GB2312" w:cs="仿宋_GB2312"/>
          <w:color w:val="000000"/>
          <w:sz w:val="26"/>
          <w:szCs w:val="26"/>
        </w:rPr>
        <w:t>吴圩国际机场</w:t>
      </w:r>
      <w:r>
        <w:rPr>
          <w:rFonts w:ascii="宋体" w:hAnsi="宋体" w:eastAsia="仿宋_GB2312" w:cs="仿宋_GB2312"/>
          <w:color w:val="000000"/>
          <w:sz w:val="26"/>
          <w:szCs w:val="26"/>
        </w:rPr>
        <w:t>等客运枢纽</w:t>
      </w:r>
      <w:r>
        <w:rPr>
          <w:rFonts w:hint="eastAsia" w:ascii="宋体" w:hAnsi="宋体" w:eastAsia="仿宋_GB2312" w:cs="仿宋_GB2312"/>
          <w:color w:val="000000"/>
          <w:sz w:val="26"/>
          <w:szCs w:val="26"/>
        </w:rPr>
        <w:t>为核心，加快以南宁为节点的高速铁路建设，强化南宁与周边省会城市和东盟重要城市的快捷连接，</w:t>
      </w:r>
      <w:r>
        <w:rPr>
          <w:rFonts w:ascii="宋体" w:hAnsi="宋体" w:eastAsia="仿宋_GB2312" w:cs="仿宋_GB2312"/>
          <w:color w:val="000000"/>
          <w:sz w:val="26"/>
          <w:szCs w:val="26"/>
        </w:rPr>
        <w:t>加强城市轨道交通、地面公交与铁路、公路、航空的衔接，</w:t>
      </w:r>
      <w:r>
        <w:rPr>
          <w:rFonts w:hint="eastAsia" w:ascii="宋体" w:hAnsi="宋体" w:eastAsia="仿宋_GB2312" w:cs="仿宋_GB2312"/>
          <w:color w:val="000000"/>
          <w:sz w:val="26"/>
          <w:szCs w:val="26"/>
        </w:rPr>
        <w:t>打造南宁</w:t>
      </w:r>
      <w:r>
        <w:rPr>
          <w:rFonts w:ascii="宋体" w:hAnsi="宋体" w:eastAsia="仿宋_GB2312" w:cs="仿宋_GB2312"/>
          <w:color w:val="000000"/>
          <w:sz w:val="26"/>
          <w:szCs w:val="26"/>
        </w:rPr>
        <w:t>区域性国际综合交通枢纽</w:t>
      </w:r>
      <w:r>
        <w:rPr>
          <w:rFonts w:hint="eastAsia" w:ascii="宋体" w:hAnsi="宋体" w:eastAsia="仿宋_GB2312" w:cs="仿宋_GB2312"/>
          <w:color w:val="000000"/>
          <w:sz w:val="26"/>
          <w:szCs w:val="26"/>
        </w:rPr>
        <w:t>。依托桂林两江国际机场和火车站，打造桂林区域性国际旅游综合交通枢纽。以设区市为重要节点，</w:t>
      </w:r>
      <w:r>
        <w:rPr>
          <w:rFonts w:ascii="宋体" w:hAnsi="宋体" w:eastAsia="仿宋_GB2312" w:cs="仿宋_GB2312"/>
          <w:color w:val="000000"/>
          <w:sz w:val="26"/>
          <w:szCs w:val="26"/>
        </w:rPr>
        <w:t>强化各种运输方式、城市交通与城际交通之间的</w:t>
      </w:r>
      <w:r>
        <w:rPr>
          <w:rFonts w:hint="eastAsia" w:ascii="宋体" w:hAnsi="宋体" w:eastAsia="仿宋_GB2312" w:cs="仿宋_GB2312"/>
          <w:color w:val="000000"/>
          <w:sz w:val="26"/>
          <w:szCs w:val="26"/>
        </w:rPr>
        <w:t>有效</w:t>
      </w:r>
      <w:r>
        <w:rPr>
          <w:rFonts w:ascii="宋体" w:hAnsi="宋体" w:eastAsia="仿宋_GB2312" w:cs="仿宋_GB2312"/>
          <w:color w:val="000000"/>
          <w:sz w:val="26"/>
          <w:szCs w:val="26"/>
        </w:rPr>
        <w:t>衔接</w:t>
      </w:r>
      <w:r>
        <w:rPr>
          <w:rFonts w:hint="eastAsia" w:ascii="宋体" w:hAnsi="宋体" w:eastAsia="仿宋_GB2312" w:cs="仿宋_GB2312"/>
          <w:color w:val="000000"/>
          <w:sz w:val="26"/>
          <w:szCs w:val="26"/>
        </w:rPr>
        <w:t>，加强铁、公、水联运设施建设，集约建设综合客运和货运枢纽，打造北部湾</w:t>
      </w:r>
      <w:r>
        <w:rPr>
          <w:rFonts w:ascii="宋体" w:hAnsi="宋体" w:eastAsia="仿宋_GB2312" w:cs="仿宋_GB2312"/>
          <w:color w:val="000000"/>
          <w:sz w:val="26"/>
          <w:szCs w:val="26"/>
        </w:rPr>
        <w:t>综合交通枢纽</w:t>
      </w:r>
      <w:r>
        <w:rPr>
          <w:rFonts w:hint="eastAsia" w:ascii="宋体" w:hAnsi="宋体" w:eastAsia="仿宋_GB2312" w:cs="仿宋_GB2312"/>
          <w:color w:val="000000"/>
          <w:sz w:val="26"/>
          <w:szCs w:val="26"/>
        </w:rPr>
        <w:t>，把设区城市建设成为</w:t>
      </w:r>
      <w:r>
        <w:rPr>
          <w:rFonts w:ascii="宋体" w:hAnsi="宋体" w:eastAsia="仿宋_GB2312" w:cs="仿宋_GB2312"/>
          <w:color w:val="000000"/>
          <w:sz w:val="26"/>
          <w:szCs w:val="26"/>
        </w:rPr>
        <w:t>区域性</w:t>
      </w:r>
      <w:r>
        <w:rPr>
          <w:rFonts w:hint="eastAsia" w:ascii="宋体" w:hAnsi="宋体" w:eastAsia="仿宋_GB2312" w:cs="仿宋_GB2312"/>
          <w:color w:val="000000"/>
          <w:sz w:val="26"/>
          <w:szCs w:val="26"/>
        </w:rPr>
        <w:t>或地区性</w:t>
      </w:r>
      <w:r>
        <w:rPr>
          <w:rFonts w:ascii="宋体" w:hAnsi="宋体" w:eastAsia="仿宋_GB2312" w:cs="仿宋_GB2312"/>
          <w:color w:val="000000"/>
          <w:sz w:val="26"/>
          <w:szCs w:val="26"/>
        </w:rPr>
        <w:t>综合交通枢纽</w:t>
      </w:r>
      <w:r>
        <w:rPr>
          <w:rFonts w:hint="eastAsia" w:ascii="宋体" w:hAnsi="宋体" w:eastAsia="仿宋_GB2312" w:cs="仿宋_GB2312"/>
          <w:color w:val="000000"/>
          <w:sz w:val="26"/>
          <w:szCs w:val="26"/>
        </w:rPr>
        <w:t>。发展枢纽经济圈，</w:t>
      </w:r>
      <w:r>
        <w:rPr>
          <w:rFonts w:hint="eastAsia" w:ascii="宋体" w:hAnsi="宋体" w:eastAsia="仿宋_GB2312"/>
          <w:color w:val="000000"/>
          <w:sz w:val="26"/>
          <w:szCs w:val="26"/>
        </w:rPr>
        <w:t>建设中国—东盟南宁空港经济区和桂林、柳州、梧州、玉林临空经济区。</w:t>
      </w:r>
    </w:p>
    <w:p>
      <w:pPr>
        <w:pStyle w:val="4"/>
        <w:spacing w:beforeLines="50" w:afterLines="50" w:line="456" w:lineRule="exact"/>
        <w:rPr>
          <w:rFonts w:ascii="宋体" w:hAnsi="宋体" w:cs="仿宋_GB2312"/>
          <w:color w:val="000000"/>
          <w:sz w:val="26"/>
          <w:szCs w:val="26"/>
        </w:rPr>
      </w:pPr>
      <w:bookmarkStart w:id="149" w:name="_Toc428544891"/>
      <w:bookmarkStart w:id="150" w:name="_Toc422340972"/>
      <w:bookmarkStart w:id="151" w:name="_Toc437010594"/>
      <w:r>
        <w:rPr>
          <w:rFonts w:hint="eastAsia" w:ascii="宋体" w:hAnsi="宋体" w:cs="仿宋_GB2312"/>
          <w:color w:val="000000"/>
          <w:sz w:val="26"/>
          <w:szCs w:val="26"/>
        </w:rPr>
        <w:t>第五节  优先发展公共交通</w:t>
      </w:r>
      <w:bookmarkEnd w:id="149"/>
      <w:bookmarkEnd w:id="150"/>
      <w:bookmarkEnd w:id="151"/>
    </w:p>
    <w:p>
      <w:pPr>
        <w:spacing w:line="456"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完善城市公共交通网络，提升城市公交出行比例。有序推进城市轨道交通建设，积极发展地面快速公交，基本建成南宁轨道交通1至4号线，推进有条件的城市规划建设轨道交通。规范发展城市出租车和专车服务，合理引导私家车出行。统筹规划建设城市公共停车场等配套设施，建设区内中心城市航空支线。发展农村公共交通，完善县际、乡际、村际客运班线，促进城乡公交一体化发展，具备条件的建制村通客车比例达到100%，城乡道路客运一体化3A级以上的县超过80%。</w:t>
      </w:r>
    </w:p>
    <w:p>
      <w:pPr>
        <w:pStyle w:val="4"/>
        <w:spacing w:beforeLines="50" w:afterLines="50" w:line="456" w:lineRule="exact"/>
        <w:rPr>
          <w:rFonts w:ascii="宋体" w:hAnsi="宋体" w:cs="仿宋_GB2312"/>
          <w:color w:val="000000"/>
          <w:sz w:val="26"/>
          <w:szCs w:val="26"/>
        </w:rPr>
      </w:pPr>
      <w:bookmarkStart w:id="152" w:name="_Toc422340973"/>
      <w:bookmarkStart w:id="153" w:name="_Toc437010595"/>
      <w:bookmarkStart w:id="154" w:name="_Toc428544892"/>
      <w:r>
        <w:rPr>
          <w:rFonts w:hint="eastAsia" w:ascii="宋体" w:hAnsi="宋体" w:cs="仿宋_GB2312"/>
          <w:color w:val="000000"/>
          <w:sz w:val="26"/>
          <w:szCs w:val="26"/>
        </w:rPr>
        <w:t>第六节  提高交通运输服务水平</w:t>
      </w:r>
      <w:bookmarkEnd w:id="152"/>
      <w:bookmarkEnd w:id="153"/>
      <w:bookmarkEnd w:id="154"/>
    </w:p>
    <w:p>
      <w:pPr>
        <w:spacing w:line="456"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加强铁路、公路、水运、机场、公交有机衔接，形成以高速铁路、高速公路、水路运输为骨干，其他运输方式为辅助</w:t>
      </w:r>
      <w:r>
        <w:rPr>
          <w:rFonts w:hint="eastAsia" w:ascii="宋体" w:hAnsi="宋体" w:eastAsia="仿宋_GB2312" w:cs="仿宋_GB2312"/>
          <w:color w:val="000000"/>
          <w:sz w:val="26"/>
          <w:szCs w:val="26"/>
        </w:rPr>
        <w:t>的</w:t>
      </w:r>
      <w:r>
        <w:rPr>
          <w:rFonts w:hint="eastAsia" w:ascii="宋体" w:hAnsi="宋体" w:eastAsia="仿宋_GB2312"/>
          <w:color w:val="000000"/>
          <w:sz w:val="26"/>
          <w:szCs w:val="26"/>
        </w:rPr>
        <w:t>综合交通运输系统，实现客运零距离换乘、货运无缝化连接。</w:t>
      </w:r>
    </w:p>
    <w:p>
      <w:pPr>
        <w:spacing w:line="456" w:lineRule="exact"/>
        <w:ind w:firstLine="522" w:firstLineChars="200"/>
        <w:rPr>
          <w:rFonts w:ascii="宋体" w:hAnsi="宋体" w:eastAsia="仿宋_GB2312"/>
          <w:color w:val="000000"/>
          <w:sz w:val="26"/>
          <w:szCs w:val="26"/>
        </w:rPr>
      </w:pPr>
      <w:r>
        <w:rPr>
          <w:rFonts w:hint="eastAsia" w:ascii="宋体" w:hAnsi="宋体" w:eastAsia="仿宋_GB2312"/>
          <w:b/>
          <w:color w:val="000000"/>
          <w:sz w:val="26"/>
          <w:szCs w:val="26"/>
        </w:rPr>
        <w:t>完善大能力专业化货运体系。</w:t>
      </w:r>
      <w:r>
        <w:rPr>
          <w:rFonts w:hint="eastAsia" w:ascii="宋体" w:hAnsi="宋体" w:eastAsia="仿宋_GB2312"/>
          <w:color w:val="000000"/>
          <w:sz w:val="26"/>
          <w:szCs w:val="26"/>
        </w:rPr>
        <w:t>建设以沿海集疏运为重点、衔接腹地的矿石煤炭、大宗散货、集装箱、油气等运输系统；以柳州为重点的工业品铁路、公路、水运运输系统。构建以电子产品、精密设备、快递等高时效、高附加值的航空货运服务。大力发展多式联运，推进南宁、贵港、梧州铁水联运、港铁联运，北部湾港海铁联运、水水联运，钦州、梧州、贵港集装箱联运，加快建设南宁、柳州、北部湾集装箱办理站。</w:t>
      </w:r>
    </w:p>
    <w:p>
      <w:pPr>
        <w:spacing w:line="460" w:lineRule="exact"/>
        <w:ind w:firstLine="522" w:firstLineChars="200"/>
        <w:rPr>
          <w:rFonts w:ascii="宋体" w:hAnsi="宋体" w:eastAsia="仿宋_GB2312"/>
          <w:color w:val="000000"/>
          <w:sz w:val="26"/>
          <w:szCs w:val="26"/>
        </w:rPr>
      </w:pPr>
      <w:r>
        <w:rPr>
          <w:rFonts w:hint="eastAsia" w:ascii="宋体" w:hAnsi="宋体" w:eastAsia="仿宋_GB2312"/>
          <w:b/>
          <w:color w:val="000000"/>
          <w:sz w:val="26"/>
          <w:szCs w:val="26"/>
        </w:rPr>
        <w:t>完善多元化客运服务体系。</w:t>
      </w:r>
      <w:r>
        <w:rPr>
          <w:rFonts w:hint="eastAsia" w:ascii="宋体" w:hAnsi="宋体" w:eastAsia="仿宋_GB2312"/>
          <w:color w:val="000000"/>
          <w:sz w:val="26"/>
          <w:szCs w:val="26"/>
        </w:rPr>
        <w:t>开行旅游客运专线和机场快线，建设重点景区集散中心交通通道，发展差异化的旅游运输服务。建设连接区内重点旅游城市的环飞航线，以旅游观光为主的通用航空航线。加大贫困地区和少数民族聚居区交通设施建设，促进交通扶贫和运输服务均等化。</w:t>
      </w:r>
    </w:p>
    <w:p>
      <w:pPr>
        <w:spacing w:afterLines="50" w:line="460" w:lineRule="exact"/>
        <w:ind w:firstLine="522" w:firstLineChars="200"/>
        <w:rPr>
          <w:rFonts w:ascii="宋体" w:hAnsi="宋体" w:eastAsia="仿宋_GB2312"/>
          <w:color w:val="000000"/>
          <w:sz w:val="32"/>
          <w:szCs w:val="32"/>
        </w:rPr>
      </w:pPr>
      <w:r>
        <w:rPr>
          <w:rFonts w:hint="eastAsia" w:ascii="宋体" w:hAnsi="宋体" w:eastAsia="仿宋_GB2312"/>
          <w:b/>
          <w:color w:val="000000"/>
          <w:sz w:val="26"/>
          <w:szCs w:val="26"/>
        </w:rPr>
        <w:t>提升绿色智能安全水平。</w:t>
      </w:r>
      <w:r>
        <w:rPr>
          <w:rFonts w:hint="eastAsia" w:ascii="宋体" w:hAnsi="宋体" w:eastAsia="仿宋_GB2312"/>
          <w:color w:val="000000"/>
          <w:sz w:val="26"/>
          <w:szCs w:val="26"/>
        </w:rPr>
        <w:t>促进交通运输与信息化深度融合，推广应用公路（ETC）不停车收费系统、移动互联、北斗定位导航等信息技术，建设统一公共信息服务平台，实现交通一卡通。推广使用新能源汽车，发展节能环保运输工具和方式。加大交通安全隐患治理和防护工程建设。</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237" w:type="dxa"/>
            <w:vAlign w:val="center"/>
          </w:tcPr>
          <w:p>
            <w:pPr>
              <w:spacing w:line="300" w:lineRule="exact"/>
              <w:jc w:val="center"/>
              <w:rPr>
                <w:rFonts w:ascii="仿宋_GB2312" w:hAnsi="仿宋" w:eastAsia="仿宋_GB2312"/>
                <w:color w:val="000000"/>
                <w:szCs w:val="28"/>
              </w:rPr>
            </w:pPr>
            <w:r>
              <w:rPr>
                <w:rFonts w:hint="eastAsia" w:ascii="宋体" w:hAnsi="宋体" w:eastAsia="黑体" w:cs="仿宋_GB2312"/>
                <w:color w:val="000000"/>
                <w:szCs w:val="24"/>
              </w:rPr>
              <w:t>专栏8   综合交通重点工程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jc w:val="center"/>
        </w:trPr>
        <w:tc>
          <w:tcPr>
            <w:tcW w:w="6237" w:type="dxa"/>
            <w:vAlign w:val="center"/>
          </w:tcPr>
          <w:p>
            <w:pPr>
              <w:tabs>
                <w:tab w:val="left" w:pos="2240"/>
              </w:tabs>
              <w:spacing w:line="300" w:lineRule="exact"/>
              <w:rPr>
                <w:rFonts w:ascii="宋体" w:hAnsi="宋体"/>
                <w:color w:val="000000"/>
                <w:sz w:val="18"/>
                <w:szCs w:val="18"/>
              </w:rPr>
            </w:pPr>
            <w:r>
              <w:rPr>
                <w:rFonts w:hint="eastAsia" w:ascii="黑体" w:hAnsi="黑体" w:eastAsia="黑体"/>
                <w:color w:val="000000"/>
                <w:sz w:val="18"/>
                <w:szCs w:val="18"/>
              </w:rPr>
              <w:t>南北国际新通道：</w:t>
            </w:r>
            <w:r>
              <w:rPr>
                <w:rFonts w:hint="eastAsia" w:ascii="宋体" w:hAnsi="宋体"/>
                <w:color w:val="000000"/>
                <w:sz w:val="18"/>
                <w:szCs w:val="18"/>
              </w:rPr>
              <w:t>建设南宁至贵阳客运专线，黔桂铁路增建二线，乐业至百色、河池至百色高速公路等。</w:t>
            </w:r>
          </w:p>
          <w:p>
            <w:pPr>
              <w:tabs>
                <w:tab w:val="left" w:pos="2240"/>
              </w:tabs>
              <w:spacing w:line="300" w:lineRule="exact"/>
              <w:rPr>
                <w:rFonts w:ascii="宋体" w:hAnsi="宋体"/>
                <w:color w:val="000000"/>
                <w:sz w:val="18"/>
                <w:szCs w:val="18"/>
              </w:rPr>
            </w:pPr>
            <w:r>
              <w:rPr>
                <w:rFonts w:hint="eastAsia" w:ascii="黑体" w:hAnsi="黑体" w:eastAsia="黑体"/>
                <w:color w:val="000000"/>
                <w:sz w:val="18"/>
                <w:szCs w:val="18"/>
              </w:rPr>
              <w:t>出海通道：</w:t>
            </w:r>
            <w:r>
              <w:rPr>
                <w:rFonts w:hint="eastAsia" w:ascii="宋体" w:hAnsi="宋体"/>
                <w:color w:val="000000"/>
                <w:sz w:val="18"/>
                <w:szCs w:val="18"/>
              </w:rPr>
              <w:t>建设沿海铁路既有线扩能改造、洛湛铁路贺州至玉林段扩能改造，南宁经钦州至防城港高速公路改扩建、松旺至铁山港高速公路等。</w:t>
            </w:r>
          </w:p>
          <w:p>
            <w:pPr>
              <w:tabs>
                <w:tab w:val="left" w:pos="2240"/>
              </w:tabs>
              <w:spacing w:line="300" w:lineRule="exact"/>
              <w:rPr>
                <w:rFonts w:ascii="宋体" w:hAnsi="宋体" w:eastAsia="黑体" w:cs="仿宋_GB2312"/>
                <w:color w:val="000000"/>
                <w:szCs w:val="24"/>
              </w:rPr>
            </w:pPr>
            <w:r>
              <w:rPr>
                <w:rFonts w:hint="eastAsia" w:ascii="黑体" w:hAnsi="黑体" w:eastAsia="黑体"/>
                <w:color w:val="000000"/>
                <w:sz w:val="18"/>
                <w:szCs w:val="18"/>
              </w:rPr>
              <w:t>陆路东盟通道：</w:t>
            </w:r>
            <w:r>
              <w:rPr>
                <w:rFonts w:hint="eastAsia" w:ascii="宋体" w:hAnsi="宋体"/>
                <w:color w:val="000000"/>
                <w:sz w:val="18"/>
                <w:szCs w:val="18"/>
              </w:rPr>
              <w:t>建设通往越南的防城至东兴铁路、南宁至凭祥铁路扩能改造，崇左至水口、隆安至硕龙高速公路，沿边公路改扩建，北仑河二桥、水口至驮隆界河二桥、峒中至横模口岸桥等。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6" w:hRule="atLeast"/>
          <w:jc w:val="center"/>
        </w:trPr>
        <w:tc>
          <w:tcPr>
            <w:tcW w:w="6237" w:type="dxa"/>
          </w:tcPr>
          <w:p>
            <w:pPr>
              <w:tabs>
                <w:tab w:val="left" w:pos="2240"/>
              </w:tabs>
              <w:spacing w:line="300" w:lineRule="exact"/>
              <w:rPr>
                <w:rFonts w:ascii="宋体" w:hAnsi="宋体"/>
                <w:color w:val="000000"/>
                <w:sz w:val="18"/>
                <w:szCs w:val="18"/>
              </w:rPr>
            </w:pPr>
            <w:r>
              <w:rPr>
                <w:rFonts w:hint="eastAsia" w:ascii="黑体" w:hAnsi="黑体" w:eastAsia="黑体"/>
                <w:color w:val="000000"/>
                <w:sz w:val="18"/>
                <w:szCs w:val="18"/>
              </w:rPr>
              <w:t>连接西南中南通道：</w:t>
            </w:r>
            <w:r>
              <w:rPr>
                <w:rFonts w:hint="eastAsia" w:ascii="宋体" w:hAnsi="宋体"/>
                <w:color w:val="000000"/>
                <w:sz w:val="18"/>
                <w:szCs w:val="18"/>
              </w:rPr>
              <w:t>建设南昆铁路昆明至百色段增建二线、焦柳铁路怀化至柳州段电气化改造，柳州经合山至南宁、灌阳至平乐高速公路，龙滩、百色升船机等。扩建桂林、柳州机场新航站楼，迁建百色巴马机场。</w:t>
            </w:r>
          </w:p>
          <w:p>
            <w:pPr>
              <w:tabs>
                <w:tab w:val="left" w:pos="2240"/>
              </w:tabs>
              <w:spacing w:line="300" w:lineRule="exact"/>
              <w:rPr>
                <w:rFonts w:ascii="宋体" w:hAnsi="宋体"/>
                <w:color w:val="000000"/>
                <w:sz w:val="18"/>
                <w:szCs w:val="18"/>
              </w:rPr>
            </w:pPr>
            <w:r>
              <w:rPr>
                <w:rFonts w:hint="eastAsia" w:ascii="黑体" w:hAnsi="黑体" w:eastAsia="黑体"/>
                <w:color w:val="000000"/>
                <w:sz w:val="18"/>
                <w:szCs w:val="18"/>
              </w:rPr>
              <w:t>对接粤港澳通道：</w:t>
            </w:r>
            <w:r>
              <w:rPr>
                <w:rFonts w:hint="eastAsia" w:ascii="宋体" w:hAnsi="宋体"/>
                <w:color w:val="000000"/>
                <w:sz w:val="18"/>
                <w:szCs w:val="18"/>
              </w:rPr>
              <w:t>建设柳州经梧州至广州、柳州经贺州至韶关铁路，荔浦至玉林、贵港至隆安、南宁苏圩经灵山经浦北至博白高速公路，贵港经梧州至广州一级航道、柳州至石龙三江口二级航道、来宾至桂平二级航道，西津枢纽二线、红花枢纽二线船闸等。新建玉林、贺州机场，迁建梧州机场。</w:t>
            </w:r>
          </w:p>
          <w:p>
            <w:pPr>
              <w:tabs>
                <w:tab w:val="left" w:pos="2240"/>
              </w:tabs>
              <w:spacing w:line="300" w:lineRule="exact"/>
              <w:rPr>
                <w:rFonts w:ascii="宋体" w:hAnsi="宋体"/>
                <w:color w:val="000000"/>
                <w:sz w:val="18"/>
                <w:szCs w:val="18"/>
              </w:rPr>
            </w:pPr>
            <w:r>
              <w:rPr>
                <w:rFonts w:hint="eastAsia" w:ascii="黑体" w:hAnsi="黑体" w:eastAsia="黑体"/>
                <w:color w:val="000000"/>
                <w:sz w:val="18"/>
                <w:szCs w:val="18"/>
              </w:rPr>
              <w:t>北部湾区域性国际航运中心：</w:t>
            </w:r>
            <w:r>
              <w:rPr>
                <w:rFonts w:hint="eastAsia" w:ascii="宋体" w:hAnsi="宋体"/>
                <w:color w:val="000000"/>
                <w:sz w:val="18"/>
                <w:szCs w:val="18"/>
              </w:rPr>
              <w:t>建设防城港企沙南港区40万吨级码头及配套航道、钦州港20万吨级集装箱码头及配套航道，北海铁山港7至10号泊位，防城港第五作业区进港航道、钦州港30万吨级航道、北海铁山港区航道三期工程、二期扩建工程等。</w:t>
            </w:r>
          </w:p>
          <w:p>
            <w:pPr>
              <w:tabs>
                <w:tab w:val="left" w:pos="2240"/>
              </w:tabs>
              <w:spacing w:line="300" w:lineRule="exact"/>
              <w:rPr>
                <w:rFonts w:ascii="宋体" w:hAnsi="宋体"/>
                <w:color w:val="000000"/>
                <w:szCs w:val="21"/>
              </w:rPr>
            </w:pPr>
            <w:r>
              <w:rPr>
                <w:rFonts w:hint="eastAsia" w:ascii="黑体" w:hAnsi="黑体" w:eastAsia="黑体"/>
                <w:color w:val="000000"/>
                <w:sz w:val="18"/>
                <w:szCs w:val="18"/>
              </w:rPr>
              <w:t>南宁区域性国际综合交通枢纽：</w:t>
            </w:r>
            <w:r>
              <w:rPr>
                <w:rFonts w:hint="eastAsia" w:ascii="宋体" w:hAnsi="宋体"/>
                <w:color w:val="000000"/>
                <w:sz w:val="18"/>
                <w:szCs w:val="18"/>
              </w:rPr>
              <w:t>建设南宁城市轨道交通5号线，推进6号线项目前期工作，南宁机场第二跑道，南宁五象火车站，南宁第二、三高铁动车所等。</w:t>
            </w:r>
          </w:p>
        </w:tc>
      </w:tr>
    </w:tbl>
    <w:p>
      <w:pPr>
        <w:pStyle w:val="3"/>
        <w:spacing w:beforeLines="50" w:afterLines="50" w:line="460" w:lineRule="exact"/>
        <w:rPr>
          <w:rFonts w:ascii="宋体" w:hAnsi="宋体" w:cs="楷体_GB2312"/>
          <w:b/>
          <w:color w:val="000000"/>
          <w:sz w:val="26"/>
          <w:szCs w:val="26"/>
        </w:rPr>
      </w:pPr>
      <w:bookmarkStart w:id="155" w:name="_Toc437010627"/>
      <w:bookmarkStart w:id="156" w:name="_Toc438458603"/>
      <w:bookmarkStart w:id="157" w:name="_Toc422340978"/>
      <w:bookmarkStart w:id="158" w:name="_Toc428544897"/>
      <w:bookmarkStart w:id="159" w:name="_Toc437010599"/>
      <w:r>
        <w:rPr>
          <w:rFonts w:hint="eastAsia" w:ascii="宋体" w:hAnsi="宋体" w:cs="楷体_GB2312"/>
          <w:b/>
          <w:color w:val="000000"/>
          <w:sz w:val="26"/>
          <w:szCs w:val="26"/>
        </w:rPr>
        <w:t>第二十章  构建现代能源体系</w:t>
      </w:r>
      <w:bookmarkEnd w:id="155"/>
      <w:bookmarkEnd w:id="156"/>
    </w:p>
    <w:p>
      <w:pPr>
        <w:spacing w:line="460" w:lineRule="exact"/>
        <w:ind w:firstLine="520" w:firstLineChars="200"/>
        <w:rPr>
          <w:rFonts w:ascii="宋体" w:hAnsi="宋体" w:eastAsia="仿宋_GB2312" w:cs="宋体"/>
          <w:color w:val="000000"/>
          <w:kern w:val="0"/>
          <w:sz w:val="26"/>
          <w:szCs w:val="26"/>
          <w:lang w:val="zh-CN"/>
        </w:rPr>
      </w:pPr>
      <w:r>
        <w:rPr>
          <w:rFonts w:hint="eastAsia" w:ascii="宋体" w:hAnsi="宋体" w:eastAsia="仿宋_GB2312" w:cs="宋体"/>
          <w:color w:val="000000"/>
          <w:kern w:val="0"/>
          <w:sz w:val="26"/>
          <w:szCs w:val="26"/>
          <w:lang w:val="zh-CN"/>
        </w:rPr>
        <w:t>以节能优先、绿色低碳为导向，推动能源生产和消费革命，构建清洁低碳、安全高效的现代能源体系。</w:t>
      </w:r>
    </w:p>
    <w:p>
      <w:pPr>
        <w:pStyle w:val="4"/>
        <w:spacing w:beforeLines="50" w:afterLines="50" w:line="460" w:lineRule="exact"/>
        <w:rPr>
          <w:rFonts w:ascii="宋体" w:hAnsi="宋体" w:cs="仿宋_GB2312"/>
          <w:color w:val="000000"/>
          <w:sz w:val="26"/>
          <w:szCs w:val="26"/>
        </w:rPr>
      </w:pPr>
      <w:bookmarkStart w:id="160" w:name="_Toc422340993"/>
      <w:bookmarkStart w:id="161" w:name="_Toc437010628"/>
      <w:bookmarkStart w:id="162" w:name="_Toc428544910"/>
      <w:r>
        <w:rPr>
          <w:rFonts w:hint="eastAsia" w:ascii="宋体" w:hAnsi="宋体" w:cs="仿宋_GB2312"/>
          <w:color w:val="000000"/>
          <w:sz w:val="26"/>
          <w:szCs w:val="26"/>
        </w:rPr>
        <w:t>第一节  推进能源多元清洁发展</w:t>
      </w:r>
      <w:bookmarkEnd w:id="160"/>
      <w:bookmarkEnd w:id="161"/>
      <w:bookmarkEnd w:id="162"/>
    </w:p>
    <w:p>
      <w:pPr>
        <w:spacing w:line="460" w:lineRule="exact"/>
        <w:ind w:firstLine="520" w:firstLineChars="200"/>
        <w:rPr>
          <w:rFonts w:ascii="宋体" w:hAnsi="宋体" w:eastAsia="仿宋_GB2312"/>
          <w:color w:val="000000"/>
          <w:sz w:val="26"/>
          <w:szCs w:val="26"/>
        </w:rPr>
      </w:pPr>
      <w:r>
        <w:rPr>
          <w:rFonts w:hint="eastAsia" w:ascii="宋体" w:hAnsi="宋体" w:eastAsia="仿宋_GB2312" w:cs="宋体"/>
          <w:color w:val="000000"/>
          <w:kern w:val="0"/>
          <w:sz w:val="26"/>
          <w:szCs w:val="26"/>
          <w:lang w:val="zh-CN"/>
        </w:rPr>
        <w:t>合理规划布局，加快结构调整，大幅提高清洁能源比重，创建国家清洁能源示范省区。稳妥加快发展核电，加快在建项目建设，推动列入国家规划的项目前期工作。优化提升</w:t>
      </w:r>
      <w:r>
        <w:rPr>
          <w:rFonts w:hint="eastAsia" w:ascii="宋体" w:hAnsi="宋体" w:eastAsia="仿宋_GB2312"/>
          <w:color w:val="000000"/>
          <w:sz w:val="26"/>
          <w:szCs w:val="26"/>
        </w:rPr>
        <w:t>发展火电，根据负荷情况开工建设一批</w:t>
      </w:r>
      <w:r>
        <w:rPr>
          <w:rFonts w:hint="eastAsia" w:ascii="宋体" w:hAnsi="宋体" w:eastAsia="仿宋_GB2312" w:cs="宋体"/>
          <w:color w:val="000000"/>
          <w:kern w:val="0"/>
          <w:sz w:val="26"/>
          <w:szCs w:val="26"/>
          <w:lang w:val="zh-CN"/>
        </w:rPr>
        <w:t>高效燃煤火电项目</w:t>
      </w:r>
      <w:r>
        <w:rPr>
          <w:rFonts w:hint="eastAsia" w:ascii="宋体" w:hAnsi="宋体" w:eastAsia="仿宋_GB2312"/>
          <w:color w:val="000000"/>
          <w:sz w:val="26"/>
          <w:szCs w:val="26"/>
        </w:rPr>
        <w:t>。深度开发水电，</w:t>
      </w:r>
      <w:r>
        <w:rPr>
          <w:rFonts w:hint="eastAsia" w:ascii="宋体" w:hAnsi="宋体" w:eastAsia="仿宋_GB2312" w:cs="宋体"/>
          <w:color w:val="000000"/>
          <w:kern w:val="0"/>
          <w:sz w:val="26"/>
          <w:szCs w:val="26"/>
          <w:lang w:val="zh-CN"/>
        </w:rPr>
        <w:t>加快建设大型水电站，规划建设</w:t>
      </w:r>
      <w:r>
        <w:rPr>
          <w:rFonts w:hint="eastAsia" w:ascii="宋体" w:hAnsi="宋体" w:eastAsia="仿宋_GB2312"/>
          <w:color w:val="000000"/>
          <w:sz w:val="26"/>
          <w:szCs w:val="26"/>
        </w:rPr>
        <w:t>抽水蓄能电站。</w:t>
      </w:r>
      <w:r>
        <w:rPr>
          <w:rFonts w:hint="eastAsia" w:ascii="宋体" w:hAnsi="宋体" w:eastAsia="仿宋_GB2312" w:cs="宋体"/>
          <w:color w:val="000000"/>
          <w:kern w:val="0"/>
          <w:sz w:val="26"/>
          <w:szCs w:val="26"/>
          <w:lang w:val="zh-CN"/>
        </w:rPr>
        <w:t>大力发展可再生能源，推进资源富集、消纳条件好的地区风电开发，发展分布式光伏发电，鼓励农光互补、渔光互补等光伏发电，开发生物质发电、生物燃气、生物制油和大中型沼气，探索地热能、海洋能等开发利用。推进沿海液化天然气（LNG）项目建设。加快中心城区天然气管网及市县支线管道建设，建成覆盖城乡的天然气输送网络，实现县县通天然气。</w:t>
      </w:r>
      <w:r>
        <w:rPr>
          <w:rFonts w:hint="eastAsia" w:ascii="宋体" w:hAnsi="宋体" w:eastAsia="仿宋_GB2312"/>
          <w:color w:val="000000"/>
          <w:sz w:val="26"/>
          <w:szCs w:val="26"/>
        </w:rPr>
        <w:t>加强城乡配电网改造，建设智能电网和分布式能源。推进北部湾大型原油储备库、煤炭储配基地和防城港、北海、钦州煤炭物流园区建设。加快新能源示范城市、绿色能源示范县建设。深化电力体制改革，形成有效竞争的市场机制。2020年电源装机容量达到4700万千瓦，其中非水可再生能源装机500万千瓦左右。</w:t>
      </w:r>
    </w:p>
    <w:p>
      <w:pPr>
        <w:pStyle w:val="4"/>
        <w:spacing w:beforeLines="50" w:afterLines="50" w:line="460" w:lineRule="exact"/>
        <w:rPr>
          <w:rFonts w:ascii="宋体" w:hAnsi="宋体" w:cs="仿宋_GB2312"/>
          <w:color w:val="000000"/>
          <w:sz w:val="26"/>
          <w:szCs w:val="26"/>
        </w:rPr>
      </w:pPr>
      <w:bookmarkStart w:id="163" w:name="_Toc428544911"/>
      <w:bookmarkStart w:id="164" w:name="_Toc437010629"/>
      <w:bookmarkStart w:id="165" w:name="_Toc422340994"/>
      <w:r>
        <w:rPr>
          <w:rFonts w:hint="eastAsia" w:ascii="宋体" w:hAnsi="宋体" w:cs="仿宋_GB2312"/>
          <w:color w:val="000000"/>
          <w:sz w:val="26"/>
          <w:szCs w:val="26"/>
        </w:rPr>
        <w:t>第二节  促进能源节约利用</w:t>
      </w:r>
      <w:bookmarkEnd w:id="163"/>
      <w:bookmarkEnd w:id="164"/>
      <w:bookmarkEnd w:id="165"/>
    </w:p>
    <w:p>
      <w:pPr>
        <w:spacing w:line="46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推进能源消费与经济增长挂钩，实施能源消费总量控制、高耗能行业能源消费约束控制、其他行业按平均先进能效标准约束控制。实施煤电节能减排改造升级行动计划，淘汰分散燃煤小锅炉，推进煤电高效清洁利用。鼓励发展热电联产，有条件地区发展热电冷三联供。开展电力需求侧管理城市综合试点，推广能效电厂示范。实施新城镇、新能源、新生活行动计划，提高建筑节能标准，倡导绿色出行，推动全社会用能方式变革。2020年能源消费总量控制在1.3亿吨标煤左右。</w:t>
      </w:r>
    </w:p>
    <w:p>
      <w:pPr>
        <w:pStyle w:val="4"/>
        <w:spacing w:beforeLines="50" w:afterLines="50" w:line="460" w:lineRule="exact"/>
        <w:rPr>
          <w:rFonts w:ascii="宋体" w:hAnsi="宋体" w:cs="仿宋_GB2312"/>
          <w:color w:val="000000"/>
          <w:sz w:val="26"/>
          <w:szCs w:val="26"/>
        </w:rPr>
      </w:pPr>
      <w:bookmarkStart w:id="166" w:name="_Toc422340995"/>
      <w:bookmarkStart w:id="167" w:name="_Toc428544912"/>
      <w:bookmarkStart w:id="168" w:name="_Toc437010630"/>
      <w:r>
        <w:rPr>
          <w:rFonts w:hint="eastAsia" w:ascii="宋体" w:hAnsi="宋体" w:cs="仿宋_GB2312"/>
          <w:color w:val="000000"/>
          <w:sz w:val="26"/>
          <w:szCs w:val="26"/>
        </w:rPr>
        <w:t>第三节  加强能源合作</w:t>
      </w:r>
      <w:bookmarkEnd w:id="166"/>
      <w:bookmarkEnd w:id="167"/>
      <w:bookmarkEnd w:id="168"/>
    </w:p>
    <w:p>
      <w:pPr>
        <w:spacing w:afterLines="50" w:line="460" w:lineRule="exact"/>
        <w:ind w:firstLine="504" w:firstLineChars="200"/>
        <w:rPr>
          <w:rFonts w:ascii="宋体" w:hAnsi="宋体" w:eastAsia="仿宋_GB2312"/>
          <w:color w:val="000000"/>
          <w:spacing w:val="-4"/>
          <w:sz w:val="32"/>
          <w:szCs w:val="32"/>
        </w:rPr>
      </w:pPr>
      <w:r>
        <w:rPr>
          <w:rFonts w:hint="eastAsia" w:ascii="宋体" w:hAnsi="宋体" w:eastAsia="仿宋_GB2312"/>
          <w:color w:val="000000"/>
          <w:spacing w:val="-4"/>
          <w:sz w:val="26"/>
          <w:szCs w:val="26"/>
        </w:rPr>
        <w:t>拓展能源区域合作，建成“一带一路”国际能源资源合作基地。积极引进云南水电，参与大湄公河次区域电力联网建设，扩大从东盟、澳大利亚、拉美的煤炭、油气、生物质资源进口，加快推进沿海核电、煤炭储运基地和配送中心、油气接收及加工转化、煤电一体化等项目建设。支持大型能源企业走出去，开发境外能源基地和园区</w:t>
      </w:r>
      <w:r>
        <w:rPr>
          <w:rFonts w:hint="eastAsia" w:ascii="宋体" w:hAnsi="宋体" w:eastAsia="仿宋_GB2312"/>
          <w:color w:val="000000"/>
          <w:spacing w:val="-4"/>
          <w:sz w:val="32"/>
          <w:szCs w:val="32"/>
        </w:rPr>
        <w:t>。</w:t>
      </w: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260" w:lineRule="exact"/>
              <w:jc w:val="center"/>
              <w:rPr>
                <w:rFonts w:ascii="黑体" w:hAnsi="黑体" w:eastAsia="黑体"/>
                <w:color w:val="000000"/>
                <w:szCs w:val="24"/>
              </w:rPr>
            </w:pPr>
            <w:r>
              <w:rPr>
                <w:rFonts w:hint="eastAsia" w:ascii="黑体" w:hAnsi="黑体" w:eastAsia="黑体" w:cs="仿宋_GB2312"/>
                <w:color w:val="000000"/>
                <w:szCs w:val="24"/>
              </w:rPr>
              <w:t>专栏9  能源建设工程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23" w:hRule="atLeast"/>
          <w:jc w:val="center"/>
        </w:trPr>
        <w:tc>
          <w:tcPr>
            <w:tcW w:w="6237" w:type="dxa"/>
            <w:vAlign w:val="center"/>
          </w:tcPr>
          <w:p>
            <w:pPr>
              <w:spacing w:line="300" w:lineRule="exact"/>
              <w:rPr>
                <w:rFonts w:ascii="宋体" w:hAnsi="宋体"/>
                <w:color w:val="000000"/>
                <w:szCs w:val="21"/>
              </w:rPr>
            </w:pPr>
            <w:r>
              <w:rPr>
                <w:rFonts w:hint="eastAsia" w:ascii="黑体" w:hAnsi="黑体" w:eastAsia="黑体" w:cs="宋体"/>
                <w:color w:val="000000"/>
                <w:kern w:val="0"/>
                <w:szCs w:val="21"/>
                <w:lang w:val="zh-CN"/>
              </w:rPr>
              <w:t>核电：</w:t>
            </w:r>
            <w:r>
              <w:rPr>
                <w:rFonts w:hint="eastAsia" w:ascii="宋体" w:hAnsi="宋体" w:cs="宋体"/>
                <w:color w:val="000000"/>
                <w:kern w:val="0"/>
                <w:szCs w:val="21"/>
                <w:lang w:val="zh-CN"/>
              </w:rPr>
              <w:t>建设红沙核电二期，推进防城港白龙、平南等核电项目前期工作。</w:t>
            </w:r>
          </w:p>
          <w:p>
            <w:pPr>
              <w:spacing w:line="300" w:lineRule="exact"/>
              <w:rPr>
                <w:rFonts w:ascii="宋体" w:hAnsi="宋体" w:cs="宋体"/>
                <w:color w:val="000000"/>
                <w:kern w:val="0"/>
                <w:szCs w:val="21"/>
                <w:lang w:val="zh-CN"/>
              </w:rPr>
            </w:pPr>
            <w:r>
              <w:rPr>
                <w:rFonts w:hint="eastAsia" w:ascii="黑体" w:hAnsi="黑体" w:eastAsia="黑体" w:cs="宋体"/>
                <w:color w:val="000000"/>
                <w:kern w:val="0"/>
                <w:szCs w:val="21"/>
                <w:lang w:val="zh-CN"/>
              </w:rPr>
              <w:t>水电：</w:t>
            </w:r>
            <w:r>
              <w:rPr>
                <w:rFonts w:hint="eastAsia" w:ascii="宋体" w:hAnsi="宋体" w:cs="宋体"/>
                <w:color w:val="000000"/>
                <w:kern w:val="0"/>
                <w:szCs w:val="21"/>
                <w:lang w:val="zh-CN"/>
              </w:rPr>
              <w:t>建设大藤峡、瓦村水电站，改造乐滩水电站。</w:t>
            </w:r>
          </w:p>
          <w:p>
            <w:pPr>
              <w:spacing w:line="300" w:lineRule="exact"/>
              <w:rPr>
                <w:rFonts w:ascii="宋体" w:hAnsi="宋体" w:cs="宋体"/>
                <w:color w:val="000000"/>
                <w:kern w:val="0"/>
                <w:szCs w:val="21"/>
                <w:lang w:val="zh-CN"/>
              </w:rPr>
            </w:pPr>
            <w:r>
              <w:rPr>
                <w:rFonts w:hint="eastAsia" w:ascii="黑体" w:hAnsi="黑体" w:eastAsia="黑体" w:cs="宋体"/>
                <w:color w:val="000000"/>
                <w:kern w:val="0"/>
                <w:szCs w:val="21"/>
                <w:lang w:val="zh-CN"/>
              </w:rPr>
              <w:t>火电：</w:t>
            </w:r>
            <w:r>
              <w:rPr>
                <w:rFonts w:hint="eastAsia" w:ascii="宋体" w:hAnsi="宋体" w:cs="宋体"/>
                <w:color w:val="000000"/>
                <w:kern w:val="0"/>
                <w:szCs w:val="21"/>
                <w:lang w:val="zh-CN"/>
              </w:rPr>
              <w:t>建成神华北海电厂一期，防城港、钦州电厂二期，鹿寨热电等热电联产和一批高效燃煤火电项目。</w:t>
            </w:r>
          </w:p>
          <w:p>
            <w:pPr>
              <w:spacing w:line="300" w:lineRule="exact"/>
              <w:rPr>
                <w:rFonts w:ascii="宋体" w:hAnsi="宋体" w:cs="宋体"/>
                <w:color w:val="000000"/>
                <w:kern w:val="0"/>
                <w:szCs w:val="21"/>
                <w:lang w:val="zh-CN"/>
              </w:rPr>
            </w:pPr>
            <w:r>
              <w:rPr>
                <w:rFonts w:hint="eastAsia" w:ascii="黑体" w:hAnsi="黑体" w:eastAsia="黑体" w:cs="宋体"/>
                <w:color w:val="000000"/>
                <w:kern w:val="0"/>
                <w:szCs w:val="21"/>
                <w:lang w:val="zh-CN"/>
              </w:rPr>
              <w:t>风电：</w:t>
            </w:r>
            <w:r>
              <w:rPr>
                <w:rFonts w:hint="eastAsia" w:ascii="宋体" w:hAnsi="宋体" w:cs="宋体"/>
                <w:color w:val="000000"/>
                <w:kern w:val="0"/>
                <w:szCs w:val="21"/>
                <w:lang w:val="zh-CN"/>
              </w:rPr>
              <w:t>推进风能资源富集地区的风电项目建设，新增风电装机250万千瓦。</w:t>
            </w:r>
          </w:p>
          <w:p>
            <w:pPr>
              <w:spacing w:line="300" w:lineRule="exact"/>
              <w:rPr>
                <w:rFonts w:ascii="宋体" w:hAnsi="宋体" w:cs="宋体"/>
                <w:color w:val="000000"/>
                <w:kern w:val="0"/>
                <w:szCs w:val="21"/>
                <w:lang w:val="zh-CN"/>
              </w:rPr>
            </w:pPr>
            <w:r>
              <w:rPr>
                <w:rFonts w:hint="eastAsia" w:ascii="黑体" w:hAnsi="黑体" w:eastAsia="黑体" w:cs="宋体"/>
                <w:color w:val="000000"/>
                <w:kern w:val="0"/>
                <w:szCs w:val="21"/>
                <w:lang w:val="zh-CN"/>
              </w:rPr>
              <w:t>电网：</w:t>
            </w:r>
            <w:r>
              <w:rPr>
                <w:rFonts w:hint="eastAsia" w:ascii="宋体" w:hAnsi="宋体" w:cs="宋体"/>
                <w:color w:val="000000"/>
                <w:kern w:val="0"/>
                <w:szCs w:val="21"/>
                <w:lang w:val="zh-CN"/>
              </w:rPr>
              <w:t>建成北海、桂南（如画）输变电工程。建设南宁金陵、防城港南等输变电工程，推进配电网和农村电网升级改造。</w:t>
            </w:r>
          </w:p>
          <w:p>
            <w:pPr>
              <w:spacing w:line="300" w:lineRule="exact"/>
              <w:rPr>
                <w:rFonts w:ascii="宋体" w:hAnsi="宋体" w:cs="宋体"/>
                <w:color w:val="000000"/>
                <w:kern w:val="0"/>
                <w:szCs w:val="21"/>
                <w:lang w:val="zh-CN"/>
              </w:rPr>
            </w:pPr>
            <w:r>
              <w:rPr>
                <w:rFonts w:hint="eastAsia" w:ascii="黑体" w:hAnsi="黑体" w:eastAsia="黑体" w:cs="宋体"/>
                <w:color w:val="000000"/>
                <w:kern w:val="0"/>
                <w:szCs w:val="21"/>
                <w:lang w:val="zh-CN"/>
              </w:rPr>
              <w:t>天然气：</w:t>
            </w:r>
            <w:r>
              <w:rPr>
                <w:rFonts w:hint="eastAsia" w:ascii="宋体" w:hAnsi="宋体" w:cs="宋体"/>
                <w:color w:val="000000"/>
                <w:kern w:val="0"/>
                <w:szCs w:val="21"/>
                <w:lang w:val="zh-CN"/>
              </w:rPr>
              <w:t>建成北海、防城港LNG项目，建设天然气加气母站和子站。</w:t>
            </w:r>
          </w:p>
          <w:p>
            <w:pPr>
              <w:spacing w:line="300" w:lineRule="exact"/>
              <w:rPr>
                <w:rFonts w:ascii="宋体" w:hAnsi="宋体" w:cs="宋体"/>
                <w:color w:val="000000"/>
                <w:kern w:val="0"/>
                <w:szCs w:val="21"/>
              </w:rPr>
            </w:pPr>
            <w:r>
              <w:rPr>
                <w:rFonts w:hint="eastAsia" w:ascii="黑体" w:hAnsi="黑体" w:eastAsia="黑体" w:cs="宋体"/>
                <w:color w:val="000000"/>
                <w:kern w:val="0"/>
                <w:szCs w:val="21"/>
                <w:lang w:val="zh-CN"/>
              </w:rPr>
              <w:t>新能源和绿色能源示范市县：</w:t>
            </w:r>
            <w:r>
              <w:rPr>
                <w:rFonts w:hint="eastAsia" w:ascii="宋体" w:hAnsi="宋体" w:cs="宋体"/>
                <w:color w:val="000000"/>
                <w:kern w:val="0"/>
                <w:szCs w:val="21"/>
              </w:rPr>
              <w:t>建设南宁、梧州、来宾等国家级新能源示范城市，灌阳、融安、恭城、武鸣等绿色能源示范县。</w:t>
            </w:r>
          </w:p>
        </w:tc>
      </w:tr>
    </w:tbl>
    <w:p>
      <w:pPr>
        <w:pStyle w:val="4"/>
        <w:spacing w:beforeLines="50" w:afterLines="50" w:line="460" w:lineRule="exact"/>
        <w:rPr>
          <w:rFonts w:ascii="楷体_GB2312" w:hAnsi="宋体" w:eastAsia="楷体_GB2312"/>
          <w:color w:val="000000"/>
          <w:sz w:val="26"/>
          <w:szCs w:val="26"/>
        </w:rPr>
      </w:pPr>
      <w:bookmarkStart w:id="169" w:name="_Toc437010626"/>
      <w:bookmarkStart w:id="170" w:name="_Toc428544937"/>
      <w:r>
        <w:rPr>
          <w:rFonts w:hint="eastAsia" w:ascii="楷体_GB2312" w:hAnsi="宋体" w:eastAsia="楷体_GB2312"/>
          <w:color w:val="000000"/>
          <w:sz w:val="26"/>
          <w:szCs w:val="26"/>
        </w:rPr>
        <w:t>第二十一章  加强水利设施建设</w:t>
      </w:r>
      <w:bookmarkEnd w:id="169"/>
      <w:bookmarkEnd w:id="170"/>
    </w:p>
    <w:p>
      <w:pPr>
        <w:spacing w:line="460" w:lineRule="exact"/>
        <w:ind w:firstLine="520" w:firstLineChars="200"/>
        <w:rPr>
          <w:rFonts w:ascii="宋体" w:hAnsi="宋体" w:eastAsia="仿宋_GB2312"/>
          <w:color w:val="000000"/>
          <w:sz w:val="32"/>
          <w:szCs w:val="32"/>
        </w:rPr>
      </w:pPr>
      <w:r>
        <w:rPr>
          <w:rFonts w:hint="eastAsia" w:ascii="宋体" w:hAnsi="宋体" w:eastAsia="仿宋_GB2312"/>
          <w:color w:val="000000"/>
          <w:sz w:val="26"/>
          <w:szCs w:val="26"/>
        </w:rPr>
        <w:t>按照节水优先、综合治水、生态安全要求，加强水利设施建设，提高水安全保障能力。加快推进西江等干支流、中小河流治理及山洪灾害防治，建设防洪控制性工程，强化重点海堤标准化建设，推进中越跨界河流整治，提升抵御洪涝灾害能力。继续推进病险水库（闸）除险加固工程。加强桂中、桂西重点旱片和灌区工程建设，高标准规划建设节水型、生态型大型灌区，实施现有大中型灌区续建配套和节水改造，加大小型农田水利设施建设力度，明显提升主要旱片抗旱和灌区灌溉能力，新增有效灌溉面积300万亩。加快重点水源和城市水资源配置工程建设，加强饮用水水源地保护，建设饮用水备用水源。实施农村饮水巩固提升工程，实现农村集中式饮水人口比例85%以上，有条件地区推进城乡供水一体化。推广利用再生水、雨洪水等非常规水源。加强用水总量、用水效率、水功能区纳污“三条红线”管理，实行水资源消耗总量和强度“双控”。支持水生态文明城市建设</w:t>
      </w:r>
      <w:r>
        <w:rPr>
          <w:rFonts w:hint="eastAsia" w:ascii="宋体" w:hAnsi="宋体" w:eastAsia="仿宋_GB2312"/>
          <w:color w:val="000000"/>
          <w:sz w:val="32"/>
          <w:szCs w:val="32"/>
        </w:rPr>
        <w:t>。</w:t>
      </w:r>
    </w:p>
    <w:p>
      <w:pPr>
        <w:spacing w:line="460" w:lineRule="exact"/>
        <w:ind w:firstLine="576" w:firstLineChars="180"/>
        <w:rPr>
          <w:rFonts w:ascii="宋体" w:hAnsi="宋体" w:eastAsia="仿宋_GB2312"/>
          <w:color w:val="000000"/>
          <w:sz w:val="32"/>
          <w:szCs w:val="32"/>
        </w:rPr>
      </w:pPr>
    </w:p>
    <w:p>
      <w:pPr>
        <w:spacing w:line="460" w:lineRule="exact"/>
        <w:ind w:firstLine="576" w:firstLineChars="180"/>
        <w:rPr>
          <w:rFonts w:ascii="宋体" w:hAnsi="宋体" w:eastAsia="仿宋_GB2312"/>
          <w:color w:val="000000"/>
          <w:sz w:val="32"/>
          <w:szCs w:val="32"/>
        </w:rPr>
      </w:pP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00" w:lineRule="exact"/>
              <w:jc w:val="center"/>
              <w:rPr>
                <w:rFonts w:ascii="仿宋_GB2312" w:eastAsia="仿宋_GB2312"/>
                <w:color w:val="000000"/>
                <w:szCs w:val="24"/>
              </w:rPr>
            </w:pPr>
            <w:r>
              <w:rPr>
                <w:rFonts w:hint="eastAsia" w:ascii="黑体" w:hAnsi="黑体" w:eastAsia="黑体" w:cs="仿宋_GB2312"/>
                <w:color w:val="000000"/>
                <w:szCs w:val="24"/>
              </w:rPr>
              <w:t>专栏10  水利建设工程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52" w:hRule="atLeast"/>
          <w:jc w:val="center"/>
        </w:trPr>
        <w:tc>
          <w:tcPr>
            <w:tcW w:w="6237" w:type="dxa"/>
          </w:tcPr>
          <w:p>
            <w:pPr>
              <w:spacing w:line="300" w:lineRule="exact"/>
              <w:rPr>
                <w:rFonts w:ascii="宋体" w:hAnsi="宋体"/>
                <w:color w:val="000000"/>
                <w:sz w:val="18"/>
                <w:szCs w:val="18"/>
              </w:rPr>
            </w:pPr>
            <w:r>
              <w:rPr>
                <w:rFonts w:hint="eastAsia" w:ascii="黑体" w:hAnsi="黑体" w:eastAsia="黑体"/>
                <w:color w:val="000000"/>
                <w:sz w:val="18"/>
                <w:szCs w:val="18"/>
              </w:rPr>
              <w:t>江河湖泊治理：</w:t>
            </w:r>
            <w:r>
              <w:rPr>
                <w:rFonts w:hint="eastAsia" w:ascii="宋体" w:hAnsi="宋体"/>
                <w:color w:val="000000"/>
                <w:sz w:val="18"/>
                <w:szCs w:val="18"/>
              </w:rPr>
              <w:t>推进西江、郁江、黔浔江、柳江、桂江、龙江、刁江、湘江、贺江、南流江、北流河等河流治理，建设大藤峡、落久、洋溪、斧子口等枢纽工程。</w:t>
            </w:r>
          </w:p>
          <w:p>
            <w:pPr>
              <w:spacing w:line="300" w:lineRule="exact"/>
              <w:rPr>
                <w:rFonts w:ascii="宋体" w:hAnsi="宋体"/>
                <w:color w:val="000000"/>
                <w:sz w:val="18"/>
                <w:szCs w:val="18"/>
              </w:rPr>
            </w:pPr>
            <w:r>
              <w:rPr>
                <w:rFonts w:hint="eastAsia" w:ascii="黑体" w:hAnsi="黑体" w:eastAsia="黑体"/>
                <w:color w:val="000000"/>
                <w:sz w:val="18"/>
                <w:szCs w:val="18"/>
              </w:rPr>
              <w:t>大型灌区：</w:t>
            </w:r>
            <w:r>
              <w:rPr>
                <w:rFonts w:hint="eastAsia" w:ascii="宋体" w:hAnsi="宋体"/>
                <w:color w:val="000000"/>
                <w:sz w:val="18"/>
                <w:szCs w:val="18"/>
              </w:rPr>
              <w:t>建设桂中治旱乐滩水库灌区二期，驮英水库及灌区，百色、大藤峡、下六甲等灌区。续建合浦、洪潮江、钦灵、达开、武思江、五化、龟石、六陈等灌区。</w:t>
            </w:r>
          </w:p>
          <w:p>
            <w:pPr>
              <w:spacing w:line="300" w:lineRule="exact"/>
              <w:rPr>
                <w:rFonts w:ascii="宋体" w:hAnsi="宋体"/>
                <w:color w:val="000000"/>
                <w:sz w:val="18"/>
                <w:szCs w:val="18"/>
              </w:rPr>
            </w:pPr>
            <w:r>
              <w:rPr>
                <w:rFonts w:hint="eastAsia" w:ascii="黑体" w:hAnsi="黑体" w:eastAsia="黑体"/>
                <w:color w:val="000000"/>
                <w:sz w:val="18"/>
                <w:szCs w:val="18"/>
              </w:rPr>
              <w:t>重点水源：</w:t>
            </w:r>
            <w:r>
              <w:rPr>
                <w:rFonts w:hint="eastAsia" w:ascii="宋体" w:hAnsi="宋体"/>
                <w:color w:val="000000"/>
                <w:sz w:val="18"/>
                <w:szCs w:val="18"/>
              </w:rPr>
              <w:t>建设长塘水库、百东河水库扩容等大型水库，以及多旁、岜蒙扩容、古偿河、大垌、路花、乔音扩容、高达、所略扩容、王岗山、陇温、那峒、大王滩等中型水库，六甲提水工程。</w:t>
            </w:r>
          </w:p>
          <w:p>
            <w:pPr>
              <w:spacing w:line="300" w:lineRule="exact"/>
              <w:rPr>
                <w:rFonts w:ascii="宋体" w:hAnsi="宋体"/>
                <w:color w:val="000000"/>
                <w:sz w:val="18"/>
                <w:szCs w:val="18"/>
              </w:rPr>
            </w:pPr>
            <w:r>
              <w:rPr>
                <w:rFonts w:hint="eastAsia" w:ascii="黑体" w:hAnsi="黑体" w:eastAsia="黑体"/>
                <w:color w:val="000000"/>
                <w:sz w:val="18"/>
                <w:szCs w:val="18"/>
              </w:rPr>
              <w:t>水资源配置：</w:t>
            </w:r>
            <w:r>
              <w:rPr>
                <w:rFonts w:hint="eastAsia" w:ascii="宋体" w:hAnsi="宋体"/>
                <w:color w:val="000000"/>
                <w:sz w:val="18"/>
                <w:szCs w:val="18"/>
              </w:rPr>
              <w:t>建设玉林龙云、北海河湖水资源配置工程。</w:t>
            </w:r>
          </w:p>
          <w:p>
            <w:pPr>
              <w:spacing w:line="300" w:lineRule="exact"/>
              <w:rPr>
                <w:rFonts w:ascii="宋体" w:hAnsi="宋体"/>
                <w:color w:val="000000"/>
                <w:sz w:val="18"/>
                <w:szCs w:val="18"/>
              </w:rPr>
            </w:pPr>
            <w:r>
              <w:rPr>
                <w:rFonts w:hint="eastAsia" w:ascii="黑体" w:hAnsi="黑体" w:eastAsia="黑体"/>
                <w:color w:val="000000"/>
                <w:sz w:val="18"/>
                <w:szCs w:val="18"/>
              </w:rPr>
              <w:t>跨界河流治理：</w:t>
            </w:r>
            <w:r>
              <w:rPr>
                <w:rFonts w:hint="eastAsia" w:ascii="宋体" w:hAnsi="宋体"/>
                <w:color w:val="000000"/>
                <w:sz w:val="18"/>
                <w:szCs w:val="18"/>
              </w:rPr>
              <w:t>整治中越界河披劳河、北仑河、左江流域界河段等。</w:t>
            </w:r>
          </w:p>
          <w:p>
            <w:pPr>
              <w:spacing w:line="300" w:lineRule="exact"/>
              <w:rPr>
                <w:rFonts w:ascii="宋体" w:hAnsi="宋体"/>
                <w:color w:val="000000"/>
                <w:sz w:val="18"/>
                <w:szCs w:val="18"/>
              </w:rPr>
            </w:pPr>
            <w:r>
              <w:rPr>
                <w:rFonts w:hint="eastAsia" w:ascii="黑体" w:hAnsi="黑体" w:eastAsia="黑体"/>
                <w:color w:val="000000"/>
                <w:sz w:val="18"/>
                <w:szCs w:val="18"/>
              </w:rPr>
              <w:t>水生态文明城市：</w:t>
            </w:r>
            <w:r>
              <w:rPr>
                <w:rFonts w:hint="eastAsia" w:ascii="宋体" w:hAnsi="宋体"/>
                <w:color w:val="000000"/>
                <w:sz w:val="18"/>
                <w:szCs w:val="18"/>
              </w:rPr>
              <w:t>支持南宁、梧州、桂林、玉林等建设水生态文明城市。</w:t>
            </w:r>
          </w:p>
        </w:tc>
      </w:tr>
    </w:tbl>
    <w:p>
      <w:pPr>
        <w:pStyle w:val="3"/>
        <w:spacing w:beforeLines="50" w:afterLines="50" w:line="460" w:lineRule="exact"/>
        <w:rPr>
          <w:rFonts w:ascii="宋体" w:hAnsi="宋体" w:cs="楷体_GB2312"/>
          <w:b/>
          <w:color w:val="000000"/>
          <w:sz w:val="26"/>
          <w:szCs w:val="26"/>
        </w:rPr>
      </w:pPr>
      <w:bookmarkStart w:id="171" w:name="_Toc438458604"/>
      <w:r>
        <w:rPr>
          <w:rFonts w:hint="eastAsia" w:ascii="宋体" w:hAnsi="宋体" w:cs="楷体_GB2312"/>
          <w:b/>
          <w:color w:val="000000"/>
          <w:sz w:val="26"/>
          <w:szCs w:val="26"/>
        </w:rPr>
        <w:t xml:space="preserve">第二十二章 </w:t>
      </w:r>
      <w:r>
        <w:rPr>
          <w:rFonts w:ascii="宋体" w:hAnsi="宋体" w:cs="楷体_GB2312"/>
          <w:b/>
          <w:color w:val="000000"/>
          <w:sz w:val="26"/>
          <w:szCs w:val="26"/>
        </w:rPr>
        <w:t xml:space="preserve"> </w:t>
      </w:r>
      <w:r>
        <w:rPr>
          <w:rFonts w:hint="eastAsia" w:ascii="宋体" w:hAnsi="宋体" w:cs="楷体_GB2312"/>
          <w:b/>
          <w:color w:val="000000"/>
          <w:sz w:val="26"/>
          <w:szCs w:val="26"/>
        </w:rPr>
        <w:t>提升信息化水平</w:t>
      </w:r>
      <w:bookmarkEnd w:id="157"/>
      <w:bookmarkEnd w:id="158"/>
      <w:bookmarkEnd w:id="159"/>
      <w:bookmarkEnd w:id="171"/>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深入实施“宽带广西”战略和“互联网</w:t>
      </w:r>
      <w:r>
        <w:rPr>
          <w:rFonts w:hint="eastAsia" w:ascii="仿宋_GB2312" w:hAnsi="仿宋" w:eastAsia="仿宋_GB2312" w:cs="仿宋_GB2312"/>
          <w:color w:val="000000"/>
          <w:sz w:val="36"/>
          <w:szCs w:val="32"/>
        </w:rPr>
        <w:t>+</w:t>
      </w:r>
      <w:r>
        <w:rPr>
          <w:rFonts w:hint="eastAsia" w:ascii="宋体" w:hAnsi="宋体" w:eastAsia="仿宋_GB2312" w:cs="仿宋_GB2312"/>
          <w:color w:val="000000"/>
          <w:sz w:val="26"/>
          <w:szCs w:val="26"/>
        </w:rPr>
        <w:t>”行动，统筹推进信息基础设施建设、信息技术开发和信息资源利用，推动信息化与经济社会发展深度融合。</w:t>
      </w:r>
    </w:p>
    <w:p>
      <w:pPr>
        <w:pStyle w:val="4"/>
        <w:spacing w:beforeLines="50" w:afterLines="50" w:line="460" w:lineRule="exact"/>
        <w:rPr>
          <w:rFonts w:ascii="宋体" w:hAnsi="宋体" w:cs="Times New Roman"/>
          <w:color w:val="000000"/>
          <w:sz w:val="26"/>
          <w:szCs w:val="26"/>
        </w:rPr>
      </w:pPr>
      <w:bookmarkStart w:id="172" w:name="_Toc437010600"/>
      <w:bookmarkStart w:id="173" w:name="_Toc428544898"/>
      <w:bookmarkStart w:id="174" w:name="_Toc422340979"/>
      <w:r>
        <w:rPr>
          <w:rFonts w:hint="eastAsia" w:ascii="宋体" w:hAnsi="宋体" w:cs="仿宋_GB2312"/>
          <w:color w:val="000000"/>
          <w:sz w:val="26"/>
          <w:szCs w:val="26"/>
        </w:rPr>
        <w:t xml:space="preserve">第一节 </w:t>
      </w:r>
      <w:r>
        <w:rPr>
          <w:rFonts w:ascii="宋体" w:hAnsi="宋体"/>
          <w:color w:val="000000"/>
          <w:sz w:val="26"/>
          <w:szCs w:val="26"/>
        </w:rPr>
        <w:t xml:space="preserve"> </w:t>
      </w:r>
      <w:r>
        <w:rPr>
          <w:rFonts w:hint="eastAsia" w:ascii="宋体" w:hAnsi="宋体"/>
          <w:color w:val="000000"/>
          <w:sz w:val="26"/>
          <w:szCs w:val="26"/>
        </w:rPr>
        <w:t>加快</w:t>
      </w:r>
      <w:r>
        <w:rPr>
          <w:rFonts w:hint="eastAsia" w:ascii="宋体" w:hAnsi="宋体" w:cs="仿宋_GB2312"/>
          <w:color w:val="000000"/>
          <w:sz w:val="26"/>
          <w:szCs w:val="26"/>
        </w:rPr>
        <w:t>建设中国—东盟信息港</w:t>
      </w:r>
      <w:bookmarkEnd w:id="172"/>
      <w:bookmarkEnd w:id="173"/>
      <w:bookmarkEnd w:id="174"/>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以南宁为核心、覆盖全区、服务西南中南，构建面向东盟的国际通信网络体系和信息服务枢纽，实现中国—东盟信息网络互联互通，形成21世纪海上丝绸之路网络经济带。搭建基础设施、信息共享、技术合作、经贸服务、人文交流五大平台，打造东盟区域信息基础设施海外业务服务和运营基地。加快南宁核心基地建设，建设中国—东盟海陆光缆等国际通信设施，提升国际出入口通信能力，力争建成我国第四个国际互联网出口点和国家级互联网骨干互联节点。依托中国—东盟信息港，建设一批面向东盟的网络视听基地、北斗产业园、智慧城市产业园、技术转移中心、检验检测及认证中心等产业聚集区，推动跨境电子商务、远程医疗、网络文化、智能电网、金融信息、技术创新、网络安全等信息服务业发展，打造信息产业集群。</w:t>
      </w:r>
    </w:p>
    <w:p>
      <w:pPr>
        <w:pStyle w:val="4"/>
        <w:spacing w:beforeLines="50" w:afterLines="50" w:line="460" w:lineRule="exact"/>
        <w:rPr>
          <w:rFonts w:ascii="宋体" w:hAnsi="宋体" w:cs="仿宋_GB2312"/>
          <w:color w:val="000000"/>
          <w:sz w:val="26"/>
          <w:szCs w:val="26"/>
        </w:rPr>
      </w:pPr>
      <w:bookmarkStart w:id="175" w:name="_Toc422340980"/>
      <w:bookmarkStart w:id="176" w:name="_Toc428544899"/>
      <w:bookmarkStart w:id="177" w:name="_Toc437010601"/>
      <w:r>
        <w:rPr>
          <w:rFonts w:hint="eastAsia" w:ascii="宋体" w:hAnsi="宋体" w:cs="仿宋_GB2312"/>
          <w:color w:val="000000"/>
          <w:sz w:val="26"/>
          <w:szCs w:val="26"/>
        </w:rPr>
        <w:t xml:space="preserve">第二节  </w:t>
      </w:r>
      <w:bookmarkEnd w:id="175"/>
      <w:r>
        <w:rPr>
          <w:rFonts w:hint="eastAsia" w:ascii="宋体" w:hAnsi="宋体" w:cs="仿宋_GB2312"/>
          <w:color w:val="000000"/>
          <w:sz w:val="26"/>
          <w:szCs w:val="26"/>
        </w:rPr>
        <w:t>构建泛在普惠的信息网络</w:t>
      </w:r>
      <w:bookmarkEnd w:id="176"/>
      <w:bookmarkEnd w:id="177"/>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加快建设宽带网络基础设施，大幅提高宽带接入水平、传输速度和家庭普及</w:t>
      </w:r>
      <w:r>
        <w:rPr>
          <w:rFonts w:hint="eastAsia" w:ascii="宋体" w:hAnsi="宋体" w:eastAsia="仿宋_GB2312" w:cs="仿宋_GB2312"/>
          <w:color w:val="000000"/>
          <w:spacing w:val="2"/>
          <w:sz w:val="26"/>
          <w:szCs w:val="26"/>
        </w:rPr>
        <w:t>率，构建出区宽、区内联、资费低的信息基础设施体系。推进全光纤网络城市和新一代移动通信网络建设，实施光纤入户入园工程和居住小区光纤网络改造，实现绝大部分城镇地区光网覆盖，提供1000兆以上光纤接入能力，城镇家庭达到100兆，南宁、柳州、桂林、梧州、玉林等市中心城区实现免费高速WIFI全覆盖。实施宽带乡村工程，实现光纤到学校到农户，98%的建制村光纤接入能力达到100兆，农村家庭达到20兆。提高铁路沿线无线通信覆盖率。构建超高速、大容量、高智能信息传输网络，促进互联网信源高速接入、流量高效疏通，加快向下一代互联网演进升级。以电信、广电业务双向进入为重点，实现新一代移动通信网、下一代互联网、数字广播电视网“三网融合”。推动电信企业提高运营效率和服务水平，降低网络资费。加强邮政普遍服务、机要通信设施建设和管理。</w:t>
      </w:r>
    </w:p>
    <w:p>
      <w:pPr>
        <w:pStyle w:val="4"/>
        <w:spacing w:beforeLines="50" w:afterLines="50" w:line="460" w:lineRule="exact"/>
        <w:rPr>
          <w:rFonts w:ascii="宋体" w:hAnsi="宋体" w:cs="Times New Roman"/>
          <w:color w:val="000000"/>
          <w:sz w:val="26"/>
          <w:szCs w:val="26"/>
        </w:rPr>
      </w:pPr>
      <w:bookmarkStart w:id="178" w:name="_Toc437010602"/>
      <w:bookmarkStart w:id="179" w:name="_Toc428544900"/>
      <w:bookmarkStart w:id="180" w:name="_Toc422340981"/>
      <w:r>
        <w:rPr>
          <w:rFonts w:hint="eastAsia" w:ascii="宋体" w:hAnsi="宋体" w:cs="仿宋_GB2312"/>
          <w:color w:val="000000"/>
          <w:sz w:val="26"/>
          <w:szCs w:val="26"/>
        </w:rPr>
        <w:t xml:space="preserve">第三节 </w:t>
      </w:r>
      <w:r>
        <w:rPr>
          <w:rFonts w:ascii="宋体" w:hAnsi="宋体"/>
          <w:color w:val="000000"/>
          <w:sz w:val="26"/>
          <w:szCs w:val="26"/>
        </w:rPr>
        <w:t xml:space="preserve"> </w:t>
      </w:r>
      <w:r>
        <w:rPr>
          <w:rFonts w:hint="eastAsia" w:ascii="宋体" w:hAnsi="宋体" w:cs="仿宋_GB2312"/>
          <w:color w:val="000000"/>
          <w:sz w:val="26"/>
          <w:szCs w:val="26"/>
        </w:rPr>
        <w:t>推动经济社会信息化</w:t>
      </w:r>
      <w:bookmarkEnd w:id="178"/>
      <w:bookmarkEnd w:id="179"/>
      <w:bookmarkEnd w:id="180"/>
    </w:p>
    <w:p>
      <w:pPr>
        <w:spacing w:afterLines="50" w:line="460" w:lineRule="exact"/>
        <w:ind w:firstLine="536" w:firstLineChars="200"/>
        <w:rPr>
          <w:rFonts w:ascii="宋体" w:hAnsi="宋体" w:eastAsia="仿宋_GB2312" w:cs="仿宋_GB2312"/>
          <w:color w:val="000000"/>
          <w:spacing w:val="4"/>
          <w:sz w:val="26"/>
          <w:szCs w:val="26"/>
        </w:rPr>
      </w:pPr>
      <w:r>
        <w:rPr>
          <w:rFonts w:hint="eastAsia" w:ascii="宋体" w:hAnsi="宋体" w:eastAsia="仿宋_GB2312" w:cs="仿宋_GB2312"/>
          <w:color w:val="000000"/>
          <w:spacing w:val="4"/>
          <w:sz w:val="26"/>
          <w:szCs w:val="26"/>
        </w:rPr>
        <w:t>加快物联网、云计算、大数据等新一代信息技术应用，发展分享经济，以信息化推动产业现代化、社会治理现代化。推进重要政务信息互联互通，构建统一高效的政府电子政务平台，实施大数据战略，加强地理、人口、法人、金融、税收、统计等基础信息资源开发利用，强化信息资源整合，推动数据资源开放共享，积极发展大数据产业。加强市场监管、社会保障、医疗卫生、食品药品安全等信息系统建设，增强民生领域信息服务能力。加快数字广西和智慧城市、智慧乡村建设。</w:t>
      </w:r>
    </w:p>
    <w:p>
      <w:pPr>
        <w:spacing w:afterLines="50" w:line="460" w:lineRule="exact"/>
        <w:ind w:firstLine="482" w:firstLineChars="180"/>
        <w:rPr>
          <w:rFonts w:ascii="宋体" w:hAnsi="宋体" w:eastAsia="仿宋_GB2312" w:cs="仿宋_GB2312"/>
          <w:color w:val="000000"/>
          <w:spacing w:val="4"/>
          <w:sz w:val="26"/>
          <w:szCs w:val="26"/>
        </w:rPr>
      </w:pP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24"/>
              </w:rPr>
            </w:pPr>
            <w:r>
              <w:rPr>
                <w:rFonts w:hint="eastAsia" w:ascii="宋体" w:hAnsi="宋体" w:eastAsia="黑体" w:cs="仿宋_GB2312"/>
                <w:color w:val="000000"/>
                <w:szCs w:val="24"/>
              </w:rPr>
              <w:t>专栏</w:t>
            </w:r>
            <w:r>
              <w:rPr>
                <w:rFonts w:hint="eastAsia" w:ascii="黑体" w:hAnsi="宋体" w:eastAsia="黑体" w:cs="仿宋_GB2312"/>
                <w:color w:val="000000"/>
                <w:szCs w:val="24"/>
              </w:rPr>
              <w:t xml:space="preserve">11 </w:t>
            </w:r>
            <w:r>
              <w:rPr>
                <w:rFonts w:hint="eastAsia" w:ascii="宋体" w:hAnsi="宋体" w:eastAsia="黑体" w:cs="仿宋_GB2312"/>
                <w:color w:val="000000"/>
                <w:szCs w:val="24"/>
              </w:rPr>
              <w:t xml:space="preserve"> 信息化重点工程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81" w:hRule="atLeast"/>
          <w:jc w:val="center"/>
        </w:trPr>
        <w:tc>
          <w:tcPr>
            <w:tcW w:w="6237" w:type="dxa"/>
            <w:vAlign w:val="center"/>
          </w:tcPr>
          <w:p>
            <w:pPr>
              <w:spacing w:line="300" w:lineRule="exact"/>
              <w:rPr>
                <w:rFonts w:ascii="宋体" w:hAnsi="宋体"/>
                <w:color w:val="000000"/>
                <w:sz w:val="18"/>
                <w:szCs w:val="18"/>
              </w:rPr>
            </w:pPr>
            <w:r>
              <w:rPr>
                <w:rFonts w:hint="eastAsia" w:ascii="黑体" w:hAnsi="黑体" w:eastAsia="黑体"/>
                <w:color w:val="000000"/>
                <w:sz w:val="18"/>
                <w:szCs w:val="18"/>
              </w:rPr>
              <w:t>中国-东盟信息港：</w:t>
            </w:r>
            <w:r>
              <w:rPr>
                <w:rFonts w:hint="eastAsia" w:ascii="宋体" w:hAnsi="宋体"/>
                <w:color w:val="000000"/>
                <w:sz w:val="18"/>
                <w:szCs w:val="18"/>
              </w:rPr>
              <w:t>建设通信基础设施、北斗卫星导航、信息港基地、网络安全、智能电网、跨境电子商务、金融信息、网络文化、远程医疗、卫星遥感，以及中国联通南宁总部基地、广西云计算中心、云上广西、广西电子政务中心、中国-东盟区域国际通信业务出入口局等项目。</w:t>
            </w:r>
          </w:p>
          <w:p>
            <w:pPr>
              <w:spacing w:line="300" w:lineRule="exact"/>
              <w:rPr>
                <w:rFonts w:ascii="宋体" w:hAnsi="宋体"/>
                <w:color w:val="000000"/>
                <w:sz w:val="18"/>
                <w:szCs w:val="18"/>
              </w:rPr>
            </w:pPr>
            <w:r>
              <w:rPr>
                <w:rFonts w:hint="eastAsia" w:ascii="黑体" w:hAnsi="黑体" w:eastAsia="黑体"/>
                <w:color w:val="000000"/>
                <w:sz w:val="18"/>
                <w:szCs w:val="18"/>
              </w:rPr>
              <w:t>信息化重点工程：</w:t>
            </w:r>
            <w:r>
              <w:rPr>
                <w:rFonts w:hint="eastAsia" w:ascii="宋体" w:hAnsi="宋体"/>
                <w:color w:val="000000"/>
                <w:sz w:val="18"/>
                <w:szCs w:val="18"/>
              </w:rPr>
              <w:t>建设远程医疗、智慧交通、智慧旅游、智慧国土、地理信息等工程，北部湾数据资源交换中心、珠江-西江经济带信息枢纽港、黄金水道无线电监测网、桂林数据备份中心等项目。</w:t>
            </w:r>
          </w:p>
          <w:p>
            <w:pPr>
              <w:spacing w:line="300" w:lineRule="exact"/>
              <w:rPr>
                <w:rFonts w:ascii="黑体" w:hAnsi="黑体" w:eastAsia="黑体"/>
                <w:color w:val="000000"/>
                <w:sz w:val="32"/>
                <w:szCs w:val="32"/>
              </w:rPr>
            </w:pPr>
            <w:r>
              <w:rPr>
                <w:rFonts w:hint="eastAsia" w:ascii="黑体" w:hAnsi="黑体" w:eastAsia="黑体"/>
                <w:color w:val="000000"/>
                <w:sz w:val="18"/>
                <w:szCs w:val="18"/>
              </w:rPr>
              <w:t>信息化重点园区：</w:t>
            </w:r>
            <w:r>
              <w:rPr>
                <w:rFonts w:hint="eastAsia" w:ascii="宋体" w:hAnsi="宋体"/>
                <w:color w:val="000000"/>
                <w:sz w:val="18"/>
                <w:szCs w:val="18"/>
              </w:rPr>
              <w:t>建设南宁大数据产业园、中国电子北部湾信息港，南宁、柳州、桂林、贵港、玉林、钦州、贺州等国家智慧城市。</w:t>
            </w:r>
          </w:p>
        </w:tc>
      </w:tr>
    </w:tbl>
    <w:p>
      <w:pPr>
        <w:pStyle w:val="2"/>
        <w:spacing w:beforeLines="80" w:afterLines="80" w:line="460" w:lineRule="exact"/>
        <w:rPr>
          <w:rFonts w:ascii="宋体" w:hAnsi="宋体" w:cs="黑体"/>
          <w:color w:val="000000"/>
          <w:sz w:val="26"/>
          <w:szCs w:val="26"/>
        </w:rPr>
      </w:pPr>
      <w:bookmarkStart w:id="181" w:name="_Toc438458605"/>
      <w:bookmarkStart w:id="182" w:name="_Toc437010603"/>
      <w:bookmarkStart w:id="183" w:name="_Toc428544901"/>
      <w:bookmarkStart w:id="184" w:name="_Toc422340982"/>
      <w:r>
        <w:rPr>
          <w:rFonts w:hint="eastAsia" w:ascii="宋体" w:hAnsi="宋体" w:cs="黑体"/>
          <w:color w:val="000000"/>
          <w:sz w:val="26"/>
          <w:szCs w:val="26"/>
        </w:rPr>
        <w:t>第六篇</w:t>
      </w:r>
      <w:r>
        <w:rPr>
          <w:rFonts w:ascii="宋体" w:hAnsi="宋体" w:cs="黑体"/>
          <w:color w:val="000000"/>
          <w:sz w:val="26"/>
          <w:szCs w:val="26"/>
        </w:rPr>
        <w:t xml:space="preserve">  </w:t>
      </w:r>
      <w:r>
        <w:rPr>
          <w:rFonts w:hint="eastAsia" w:ascii="宋体" w:hAnsi="宋体" w:cs="黑体"/>
          <w:color w:val="000000"/>
          <w:sz w:val="26"/>
          <w:szCs w:val="26"/>
        </w:rPr>
        <w:t>转型升级  构建竞争力强的现代产业体系</w:t>
      </w:r>
      <w:bookmarkEnd w:id="181"/>
      <w:bookmarkEnd w:id="182"/>
      <w:bookmarkEnd w:id="183"/>
      <w:bookmarkEnd w:id="184"/>
    </w:p>
    <w:p>
      <w:pPr>
        <w:spacing w:line="46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全面推进产业转型升级攻坚战，改造提升传统产业，大力发展先进制造业、现代服务业和现代农业，积极培育战略性新兴产业，推动新产业、新业态、新模式发展，构建技术含量高、创新能力强、就业容量大、环境友好、协作紧密的现代产业新体系。</w:t>
      </w:r>
    </w:p>
    <w:p>
      <w:pPr>
        <w:pStyle w:val="3"/>
        <w:spacing w:beforeLines="50" w:afterLines="50" w:line="460" w:lineRule="exact"/>
        <w:rPr>
          <w:rFonts w:ascii="宋体" w:hAnsi="宋体" w:cs="楷体_GB2312"/>
          <w:b/>
          <w:color w:val="000000"/>
          <w:sz w:val="26"/>
          <w:szCs w:val="26"/>
        </w:rPr>
      </w:pPr>
      <w:bookmarkStart w:id="185" w:name="_Toc438458606"/>
      <w:bookmarkStart w:id="186" w:name="_Toc437010604"/>
      <w:bookmarkStart w:id="187" w:name="_Toc428544902"/>
      <w:bookmarkStart w:id="188" w:name="_Toc422340983"/>
      <w:r>
        <w:rPr>
          <w:rFonts w:hint="eastAsia" w:ascii="宋体" w:hAnsi="宋体" w:cs="楷体_GB2312"/>
          <w:b/>
          <w:color w:val="000000"/>
          <w:sz w:val="26"/>
          <w:szCs w:val="26"/>
        </w:rPr>
        <w:t xml:space="preserve">第二十三章 </w:t>
      </w:r>
      <w:r>
        <w:rPr>
          <w:rFonts w:ascii="宋体" w:hAnsi="宋体" w:cs="楷体_GB2312"/>
          <w:b/>
          <w:color w:val="000000"/>
          <w:sz w:val="26"/>
          <w:szCs w:val="26"/>
        </w:rPr>
        <w:t xml:space="preserve"> </w:t>
      </w:r>
      <w:r>
        <w:rPr>
          <w:rFonts w:hint="eastAsia" w:ascii="宋体" w:hAnsi="宋体" w:cs="楷体_GB2312"/>
          <w:b/>
          <w:color w:val="000000"/>
          <w:sz w:val="26"/>
          <w:szCs w:val="26"/>
        </w:rPr>
        <w:t>推动传统工业优化升级</w:t>
      </w:r>
      <w:bookmarkEnd w:id="185"/>
      <w:bookmarkEnd w:id="186"/>
      <w:bookmarkEnd w:id="187"/>
      <w:bookmarkEnd w:id="188"/>
    </w:p>
    <w:p>
      <w:pPr>
        <w:spacing w:line="46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以技术改造、两化融合、绿色发展、制造业服务化推动传统工业优化升级，促进产业链向中高端延伸，做强做优</w:t>
      </w:r>
      <w:r>
        <w:rPr>
          <w:rFonts w:hint="eastAsia" w:ascii="宋体" w:hAnsi="宋体" w:eastAsia="仿宋_GB2312"/>
          <w:color w:val="000000"/>
          <w:sz w:val="26"/>
          <w:szCs w:val="26"/>
          <w:lang w:eastAsia="zh-CN"/>
        </w:rPr>
        <w:t>做大</w:t>
      </w:r>
      <w:r>
        <w:rPr>
          <w:rFonts w:hint="eastAsia" w:ascii="宋体" w:hAnsi="宋体" w:eastAsia="仿宋_GB2312"/>
          <w:color w:val="000000"/>
          <w:sz w:val="26"/>
          <w:szCs w:val="26"/>
        </w:rPr>
        <w:t>支柱产业，加快发展先进制造业，培育竞争新优势，打造产业升级版。</w:t>
      </w:r>
    </w:p>
    <w:p>
      <w:pPr>
        <w:pStyle w:val="4"/>
        <w:spacing w:beforeLines="50" w:afterLines="50" w:line="460" w:lineRule="exact"/>
        <w:rPr>
          <w:rFonts w:ascii="宋体" w:hAnsi="宋体" w:cs="仿宋_GB2312"/>
          <w:color w:val="000000"/>
          <w:sz w:val="26"/>
          <w:szCs w:val="26"/>
        </w:rPr>
      </w:pPr>
      <w:bookmarkStart w:id="189" w:name="_Toc428544903"/>
      <w:bookmarkStart w:id="190" w:name="_Toc422340984"/>
      <w:bookmarkStart w:id="191" w:name="_Toc437010605"/>
      <w:r>
        <w:rPr>
          <w:rFonts w:hint="eastAsia" w:ascii="宋体" w:hAnsi="宋体" w:cs="仿宋_GB2312"/>
          <w:color w:val="000000"/>
          <w:sz w:val="26"/>
          <w:szCs w:val="26"/>
        </w:rPr>
        <w:t>第一节  改造提升传统优势工业</w:t>
      </w:r>
      <w:bookmarkEnd w:id="189"/>
      <w:bookmarkEnd w:id="190"/>
      <w:bookmarkEnd w:id="191"/>
    </w:p>
    <w:p>
      <w:pPr>
        <w:spacing w:afterLines="50" w:line="46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加大食品、汽车、机械、有色金属、冶金、石化、建材、轻纺、造纸与木材加工等传统产业技术改造力度，加快产品升级换代，延伸产业链，形成产业集群，提高产业集中度。推动糖业、铝业二次创业。实施“</w:t>
      </w:r>
      <w:r>
        <w:rPr>
          <w:rFonts w:hint="eastAsia" w:ascii="宋体" w:hAnsi="宋体" w:eastAsia="仿宋_GB2312" w:cs="仿宋_GB2312"/>
          <w:color w:val="000000"/>
          <w:sz w:val="26"/>
          <w:szCs w:val="26"/>
        </w:rPr>
        <w:t>互联网</w:t>
      </w:r>
      <w:r>
        <w:rPr>
          <w:rFonts w:hint="eastAsia" w:ascii="仿宋_GB2312" w:hAnsi="仿宋" w:eastAsia="仿宋_GB2312" w:cs="仿宋_GB2312"/>
          <w:color w:val="000000"/>
          <w:sz w:val="36"/>
          <w:szCs w:val="32"/>
        </w:rPr>
        <w:t>+</w:t>
      </w:r>
      <w:r>
        <w:rPr>
          <w:rFonts w:hint="eastAsia" w:ascii="宋体" w:hAnsi="宋体" w:eastAsia="仿宋_GB2312"/>
          <w:color w:val="000000"/>
          <w:sz w:val="26"/>
          <w:szCs w:val="26"/>
        </w:rPr>
        <w:t xml:space="preserve">工业”行动，加快移动互联网、云计算、大数据、物联网等新一代信息技术与传统工业深度融合，建设高速、泛在、安全的工业互联网，推行全生命周期管理，提升企业研发、生产、管理和服务的智能化水平。加快制造业与服务业融合发展，放宽企业开展服务业和涉足生产性领域的准入门槛，发展全产业链，推动商业模式和业态创新，促进生产型制造向服务型制造转变。引导企业加大绿色生态化改造，加强绿色产品研发应用，推进资源高效循环利用，构建绿色制造体系。加快去产能和淘汰落后产能步伐，推进企业兼并重组，加大“僵尸企业”处置力度，完善企业退出机制。 </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60" w:lineRule="exact"/>
              <w:jc w:val="center"/>
              <w:rPr>
                <w:rFonts w:ascii="宋体" w:hAnsi="宋体" w:eastAsia="黑体"/>
                <w:color w:val="000000"/>
                <w:kern w:val="0"/>
                <w:szCs w:val="24"/>
              </w:rPr>
            </w:pPr>
            <w:r>
              <w:rPr>
                <w:rFonts w:hint="eastAsia" w:ascii="宋体" w:hAnsi="宋体" w:eastAsia="黑体" w:cs="仿宋_GB2312"/>
                <w:color w:val="000000"/>
                <w:szCs w:val="24"/>
              </w:rPr>
              <w:t>专栏</w:t>
            </w:r>
            <w:r>
              <w:rPr>
                <w:rFonts w:hint="eastAsia" w:ascii="黑体" w:hAnsi="宋体" w:eastAsia="黑体" w:cs="仿宋_GB2312"/>
                <w:color w:val="000000"/>
                <w:szCs w:val="24"/>
              </w:rPr>
              <w:t>12</w:t>
            </w:r>
            <w:r>
              <w:rPr>
                <w:rFonts w:hint="eastAsia" w:ascii="宋体" w:hAnsi="宋体" w:eastAsia="黑体" w:cs="仿宋_GB2312"/>
                <w:color w:val="000000"/>
                <w:szCs w:val="24"/>
              </w:rPr>
              <w:t xml:space="preserve">  传统优势工业改造提升工程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5" w:hRule="atLeast"/>
          <w:jc w:val="center"/>
        </w:trPr>
        <w:tc>
          <w:tcPr>
            <w:tcW w:w="6237" w:type="dxa"/>
            <w:vAlign w:val="center"/>
          </w:tcPr>
          <w:p>
            <w:pPr>
              <w:spacing w:line="30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制糖业：</w:t>
            </w:r>
            <w:r>
              <w:rPr>
                <w:rFonts w:hint="eastAsia" w:ascii="宋体" w:hAnsi="宋体" w:cs="仿宋_GB2312"/>
                <w:color w:val="000000"/>
                <w:kern w:val="0"/>
                <w:sz w:val="18"/>
                <w:szCs w:val="18"/>
              </w:rPr>
              <w:t>实施糖业二次创业计划，建设500万亩“双高”糖业基地，提高机械化水平，延伸产业链，提高资源综合利用水平。</w:t>
            </w:r>
          </w:p>
          <w:p>
            <w:pPr>
              <w:spacing w:line="300" w:lineRule="exact"/>
              <w:rPr>
                <w:rFonts w:ascii="宋体" w:hAnsi="宋体" w:eastAsia="黑体" w:cs="仿宋_GB2312"/>
                <w:color w:val="000000"/>
                <w:szCs w:val="24"/>
              </w:rPr>
            </w:pPr>
            <w:r>
              <w:rPr>
                <w:rFonts w:hint="eastAsia" w:ascii="黑体" w:hAnsi="黑体" w:eastAsia="黑体" w:cs="仿宋_GB2312"/>
                <w:color w:val="000000"/>
                <w:kern w:val="0"/>
                <w:sz w:val="18"/>
                <w:szCs w:val="18"/>
              </w:rPr>
              <w:t>以铝为主的有色金属产业：</w:t>
            </w:r>
            <w:r>
              <w:rPr>
                <w:rFonts w:hint="eastAsia" w:ascii="宋体" w:hAnsi="宋体" w:cs="仿宋_GB2312"/>
                <w:color w:val="000000"/>
                <w:kern w:val="0"/>
                <w:sz w:val="18"/>
                <w:szCs w:val="18"/>
              </w:rPr>
              <w:t>实施铝业二次创业计划，重点发展铝及精深加工产品、有色金属新材料，推进采选冶加工一体化，发展再生资源利用产业。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3" w:hRule="atLeast"/>
          <w:jc w:val="center"/>
        </w:trPr>
        <w:tc>
          <w:tcPr>
            <w:tcW w:w="6237" w:type="dxa"/>
            <w:vAlign w:val="center"/>
          </w:tcPr>
          <w:p>
            <w:pPr>
              <w:spacing w:line="320" w:lineRule="exact"/>
              <w:rPr>
                <w:rFonts w:ascii="宋体" w:hAnsi="宋体"/>
                <w:color w:val="000000"/>
                <w:sz w:val="18"/>
                <w:szCs w:val="18"/>
              </w:rPr>
            </w:pPr>
            <w:r>
              <w:rPr>
                <w:rFonts w:hint="eastAsia" w:ascii="黑体" w:hAnsi="黑体" w:eastAsia="黑体" w:cs="仿宋_GB2312"/>
                <w:color w:val="000000"/>
                <w:kern w:val="0"/>
                <w:sz w:val="18"/>
                <w:szCs w:val="18"/>
              </w:rPr>
              <w:t>以汽车、工程机械和修造船为主的装备制造业：</w:t>
            </w:r>
            <w:r>
              <w:rPr>
                <w:rFonts w:hint="eastAsia" w:ascii="宋体" w:hAnsi="宋体"/>
                <w:color w:val="000000"/>
                <w:sz w:val="18"/>
                <w:szCs w:val="18"/>
              </w:rPr>
              <w:t>加强装备研发和系统集成能力，推动装备产品智能化，促进装备制造业向技术自主化、制造集约化、设备成套化、服务网络化发展。</w:t>
            </w:r>
          </w:p>
          <w:p>
            <w:pPr>
              <w:spacing w:line="32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冶金行业：</w:t>
            </w:r>
            <w:r>
              <w:rPr>
                <w:rFonts w:hint="eastAsia" w:ascii="宋体" w:hAnsi="宋体" w:cs="仿宋_GB2312"/>
                <w:color w:val="000000"/>
                <w:kern w:val="0"/>
                <w:sz w:val="18"/>
                <w:szCs w:val="18"/>
              </w:rPr>
              <w:t>巩固热冷轧板卷、中厚钢板、建筑用钢材等优势品种，提升精品钢材和锰、镍合金质量性能，延伸汽车、造船、海工装备、轨道交通、钢铁等产业链，加大新合金材料开发。</w:t>
            </w:r>
          </w:p>
          <w:p>
            <w:pPr>
              <w:spacing w:line="32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石化及化工行业：</w:t>
            </w:r>
            <w:r>
              <w:rPr>
                <w:rFonts w:hint="eastAsia" w:ascii="宋体" w:hAnsi="宋体" w:cs="仿宋_GB2312"/>
                <w:color w:val="000000"/>
                <w:kern w:val="0"/>
                <w:sz w:val="18"/>
                <w:szCs w:val="18"/>
              </w:rPr>
              <w:t>重点推进炼化一体化，推动油品质量升级，发展乙烯、芳烃等基础和中高端石化产品，推动化肥、氯碱、林产化工等行业改造升级。</w:t>
            </w:r>
          </w:p>
          <w:p>
            <w:pPr>
              <w:spacing w:line="320" w:lineRule="exact"/>
              <w:rPr>
                <w:rFonts w:ascii="宋体" w:hAnsi="宋体" w:cs="仿宋_GB2312"/>
                <w:color w:val="000000"/>
                <w:spacing w:val="2"/>
                <w:kern w:val="0"/>
                <w:sz w:val="18"/>
                <w:szCs w:val="18"/>
              </w:rPr>
            </w:pPr>
            <w:r>
              <w:rPr>
                <w:rFonts w:hint="eastAsia" w:ascii="黑体" w:hAnsi="黑体" w:eastAsia="黑体" w:cs="仿宋_GB2312"/>
                <w:color w:val="000000"/>
                <w:kern w:val="0"/>
                <w:sz w:val="18"/>
                <w:szCs w:val="18"/>
              </w:rPr>
              <w:t>建材建筑行业：</w:t>
            </w:r>
            <w:r>
              <w:rPr>
                <w:rFonts w:hint="eastAsia" w:ascii="宋体" w:hAnsi="宋体" w:cs="仿宋_GB2312"/>
                <w:color w:val="000000"/>
                <w:kern w:val="0"/>
                <w:sz w:val="18"/>
                <w:szCs w:val="18"/>
              </w:rPr>
              <w:t>控制总量扩张，优化品种结构，大力发展绿色建材产品和新型建筑</w:t>
            </w:r>
            <w:r>
              <w:rPr>
                <w:rFonts w:hint="eastAsia" w:ascii="宋体" w:hAnsi="宋体" w:cs="仿宋_GB2312"/>
                <w:color w:val="000000"/>
                <w:spacing w:val="2"/>
                <w:kern w:val="0"/>
                <w:sz w:val="18"/>
                <w:szCs w:val="18"/>
              </w:rPr>
              <w:t>材料，推动建筑产业现代化，实现建筑产业设计标准化、生产工厂化、施工装备化、管理信息化。</w:t>
            </w:r>
          </w:p>
          <w:p>
            <w:pPr>
              <w:spacing w:line="32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造纸和木材加工行业：</w:t>
            </w:r>
            <w:r>
              <w:rPr>
                <w:rFonts w:hint="eastAsia" w:ascii="宋体" w:hAnsi="宋体" w:cs="仿宋_GB2312"/>
                <w:color w:val="000000"/>
                <w:kern w:val="0"/>
                <w:sz w:val="18"/>
                <w:szCs w:val="18"/>
              </w:rPr>
              <w:t>加强原料林基地建设，发展木材精深加工、林板家具和林浆纸一体化。</w:t>
            </w:r>
          </w:p>
          <w:p>
            <w:pPr>
              <w:spacing w:line="32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轻纺行业：</w:t>
            </w:r>
            <w:r>
              <w:rPr>
                <w:rFonts w:hint="eastAsia" w:ascii="宋体" w:hAnsi="宋体" w:cs="仿宋_GB2312"/>
                <w:color w:val="000000"/>
                <w:kern w:val="0"/>
                <w:sz w:val="18"/>
                <w:szCs w:val="18"/>
              </w:rPr>
              <w:t>提升轻工家电、纺织服装设计研发和市场营销能力，提高环保和质量安全水平。</w:t>
            </w:r>
          </w:p>
          <w:p>
            <w:pPr>
              <w:spacing w:line="320" w:lineRule="exact"/>
              <w:rPr>
                <w:rFonts w:ascii="宋体" w:hAnsi="宋体" w:cs="仿宋_GB2312"/>
                <w:color w:val="000000"/>
                <w:kern w:val="0"/>
                <w:sz w:val="24"/>
                <w:szCs w:val="24"/>
              </w:rPr>
            </w:pPr>
            <w:r>
              <w:rPr>
                <w:rFonts w:hint="eastAsia" w:ascii="黑体" w:hAnsi="黑体" w:eastAsia="黑体" w:cs="仿宋_GB2312"/>
                <w:color w:val="000000"/>
                <w:kern w:val="0"/>
                <w:sz w:val="18"/>
                <w:szCs w:val="18"/>
              </w:rPr>
              <w:t>电子信息产业：</w:t>
            </w:r>
            <w:r>
              <w:rPr>
                <w:rFonts w:hint="eastAsia" w:ascii="宋体" w:hAnsi="宋体" w:cs="仿宋_GB2312"/>
                <w:color w:val="000000"/>
                <w:kern w:val="0"/>
                <w:sz w:val="18"/>
                <w:szCs w:val="18"/>
              </w:rPr>
              <w:t>提高研发水平，增强基础电子、基础元器件自主发展能力，引导向云计算、大数据、移动互联网等高端产业链延伸。</w:t>
            </w:r>
          </w:p>
        </w:tc>
      </w:tr>
    </w:tbl>
    <w:p>
      <w:pPr>
        <w:pStyle w:val="4"/>
        <w:spacing w:beforeLines="50" w:afterLines="50" w:line="460" w:lineRule="exact"/>
        <w:rPr>
          <w:rFonts w:ascii="宋体" w:hAnsi="宋体" w:cs="仿宋_GB2312"/>
          <w:color w:val="000000"/>
          <w:sz w:val="26"/>
          <w:szCs w:val="26"/>
        </w:rPr>
      </w:pPr>
      <w:bookmarkStart w:id="192" w:name="_Toc422340989"/>
      <w:bookmarkStart w:id="193" w:name="_Toc437010610"/>
      <w:bookmarkStart w:id="194" w:name="_Toc428544907"/>
      <w:bookmarkStart w:id="195" w:name="_Toc437010606"/>
      <w:bookmarkStart w:id="196" w:name="_Toc422340986"/>
      <w:bookmarkStart w:id="197" w:name="_Toc428544904"/>
      <w:r>
        <w:rPr>
          <w:rFonts w:hint="eastAsia" w:ascii="宋体" w:hAnsi="宋体" w:cs="仿宋_GB2312"/>
          <w:color w:val="000000"/>
          <w:sz w:val="26"/>
          <w:szCs w:val="26"/>
        </w:rPr>
        <w:t>第二节</w:t>
      </w:r>
      <w:r>
        <w:rPr>
          <w:rFonts w:ascii="宋体" w:hAnsi="宋体" w:cs="仿宋_GB2312"/>
          <w:color w:val="000000"/>
          <w:sz w:val="26"/>
          <w:szCs w:val="26"/>
        </w:rPr>
        <w:t xml:space="preserve"> </w:t>
      </w:r>
      <w:bookmarkEnd w:id="192"/>
      <w:r>
        <w:rPr>
          <w:rFonts w:hint="eastAsia" w:ascii="宋体" w:hAnsi="宋体" w:cs="仿宋_GB2312"/>
          <w:color w:val="000000"/>
          <w:sz w:val="26"/>
          <w:szCs w:val="26"/>
        </w:rPr>
        <w:t xml:space="preserve"> 加快发展先进制造业</w:t>
      </w:r>
      <w:bookmarkEnd w:id="193"/>
    </w:p>
    <w:bookmarkEnd w:id="194"/>
    <w:p>
      <w:pPr>
        <w:spacing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深入落实《中国制造2025》，</w:t>
      </w:r>
      <w:r>
        <w:rPr>
          <w:rFonts w:hint="eastAsia" w:ascii="宋体" w:hAnsi="宋体" w:eastAsia="仿宋_GB2312"/>
          <w:color w:val="000000"/>
          <w:sz w:val="26"/>
          <w:szCs w:val="26"/>
        </w:rPr>
        <w:t>推动广西制造向广西智造、广西创造迈进。</w:t>
      </w:r>
      <w:r>
        <w:rPr>
          <w:rFonts w:hint="eastAsia" w:ascii="宋体" w:hAnsi="宋体" w:eastAsia="仿宋_GB2312" w:cs="仿宋_GB2312"/>
          <w:color w:val="000000"/>
          <w:sz w:val="26"/>
          <w:szCs w:val="26"/>
        </w:rPr>
        <w:t>实施智能制造工程，发展基于工业互联网的新型制造模式，探索建立智能制造业联盟。大力发展轨道交通装备、海洋工程装备及高技术船舶、高端数控机床与机器人、农机装备、通用航空等先进制造业，培育发展专利密集型产业。壮大先进制造业规模，提高产业集聚度，打造先进制造业集群。发挥柳州工业龙头带动作用，加快建设北部湾和柳州、桂林、梧州、玉林等先进制造业基地。</w:t>
      </w:r>
    </w:p>
    <w:p>
      <w:pPr>
        <w:pStyle w:val="4"/>
        <w:spacing w:beforeLines="50" w:afterLines="50" w:line="444" w:lineRule="exact"/>
        <w:rPr>
          <w:rFonts w:ascii="宋体" w:hAnsi="宋体" w:cs="仿宋_GB2312"/>
          <w:color w:val="000000"/>
          <w:sz w:val="26"/>
          <w:szCs w:val="26"/>
        </w:rPr>
      </w:pPr>
      <w:r>
        <w:rPr>
          <w:rFonts w:hint="eastAsia" w:ascii="宋体" w:hAnsi="宋体" w:cs="仿宋_GB2312"/>
          <w:color w:val="000000"/>
          <w:sz w:val="26"/>
          <w:szCs w:val="26"/>
        </w:rPr>
        <w:t>第三节  提升工业基础能力</w:t>
      </w:r>
      <w:bookmarkEnd w:id="195"/>
      <w:r>
        <w:rPr>
          <w:rFonts w:hint="eastAsia" w:ascii="宋体" w:hAnsi="宋体" w:cs="仿宋_GB2312"/>
          <w:color w:val="000000"/>
          <w:sz w:val="26"/>
          <w:szCs w:val="26"/>
        </w:rPr>
        <w:t xml:space="preserve">  </w:t>
      </w:r>
    </w:p>
    <w:p>
      <w:pPr>
        <w:spacing w:line="444" w:lineRule="exact"/>
        <w:ind w:firstLine="504" w:firstLineChars="200"/>
        <w:rPr>
          <w:rFonts w:ascii="宋体" w:hAnsi="宋体" w:eastAsia="仿宋_GB2312"/>
          <w:color w:val="000000"/>
          <w:spacing w:val="-4"/>
          <w:sz w:val="26"/>
          <w:szCs w:val="26"/>
        </w:rPr>
      </w:pPr>
      <w:r>
        <w:rPr>
          <w:rFonts w:hint="eastAsia" w:ascii="宋体" w:hAnsi="宋体" w:eastAsia="仿宋_GB2312"/>
          <w:color w:val="000000"/>
          <w:spacing w:val="-4"/>
          <w:sz w:val="26"/>
          <w:szCs w:val="26"/>
        </w:rPr>
        <w:t>实施工业强基工程，加强产业技术基础、先进基础工艺、关键基础材料、核心基础零部件等建设。针对重大工程和重点装备的关键技术和急需产品，支持优势企业开展产学研用联合攻关，突破先进基础工艺、关键基础材料、基础零部件的工程化、产业化瓶颈，推动首台套、首批次和跨领域应用。支持企业开展工艺创新，培养工艺专业人才。</w:t>
      </w:r>
      <w:bookmarkStart w:id="198" w:name="_Toc428544914"/>
      <w:bookmarkStart w:id="199" w:name="_Toc422340997"/>
      <w:r>
        <w:rPr>
          <w:rFonts w:hint="eastAsia" w:ascii="宋体" w:hAnsi="宋体" w:eastAsia="仿宋_GB2312"/>
          <w:color w:val="000000"/>
          <w:spacing w:val="-4"/>
          <w:sz w:val="26"/>
          <w:szCs w:val="26"/>
        </w:rPr>
        <w:t>强化公共平台建设</w:t>
      </w:r>
      <w:bookmarkEnd w:id="198"/>
      <w:bookmarkEnd w:id="199"/>
      <w:r>
        <w:rPr>
          <w:rFonts w:hint="eastAsia" w:ascii="宋体" w:hAnsi="宋体" w:eastAsia="仿宋_GB2312"/>
          <w:color w:val="000000"/>
          <w:spacing w:val="-4"/>
          <w:sz w:val="26"/>
          <w:szCs w:val="26"/>
        </w:rPr>
        <w:t>，完善产业技术基础体系，在战略高技术领域和重点学科建设科学中心、重点实验室，构建科技基础研发平台；在优势产业技术领域布局建设工程实验室。依托优势企业建设技术中心和创新平台，依托制造业集聚区建设生产性服务业平台。转变政府扶持产业发展政策，逐步从选择重点产业、重点企业或重点项目配置资源，转向强化对产业升级共性关键技术的普惠性支持，加强共性技术研发、公共信息、公共检测等平台建设，提高支撑产业发展的基础能力。</w:t>
      </w:r>
    </w:p>
    <w:p>
      <w:pPr>
        <w:pStyle w:val="4"/>
        <w:spacing w:beforeLines="50" w:afterLines="50" w:line="444" w:lineRule="exact"/>
        <w:rPr>
          <w:rFonts w:ascii="宋体" w:hAnsi="宋体" w:cs="仿宋_GB2312"/>
          <w:color w:val="000000"/>
          <w:sz w:val="26"/>
          <w:szCs w:val="26"/>
        </w:rPr>
      </w:pPr>
      <w:bookmarkStart w:id="200" w:name="_Toc437010607"/>
      <w:r>
        <w:rPr>
          <w:rFonts w:hint="eastAsia" w:ascii="宋体" w:hAnsi="宋体" w:cs="仿宋_GB2312"/>
          <w:color w:val="000000"/>
          <w:sz w:val="26"/>
          <w:szCs w:val="26"/>
        </w:rPr>
        <w:t>第四节  增强企业竞争力</w:t>
      </w:r>
      <w:bookmarkEnd w:id="196"/>
      <w:bookmarkEnd w:id="197"/>
      <w:bookmarkEnd w:id="200"/>
    </w:p>
    <w:p>
      <w:pPr>
        <w:spacing w:line="444"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健全支持企业技术改造政策措施，推动企业应用新技术、新材料、新工艺、新装备。完善企业研发费用加计扣除政策，扩大固定资产加速折旧实施范围，推动企业更新设备和采用新技术。开展质量品牌提升行动，支持企业瞄准国内同行业标杆推进技术改造，提高产品技术、工艺装备和能效环保水平，增强质量品牌意识，加强标准化建设，培育具有自主知识产权的名牌产品，提升企业素质。开展降低实体经济企业成本行动，切实降低企业运营成本、融资成本和税费成本，降低社会保险费，增强盈利能力。以制糖、汽车、钢铁、水泥、机械、有色金属等为重点，推动企业跨行业、跨地区兼并重组、强强联合，培育一批规模较大、产业链完整、核心竞争力强的企业集团和企业联合体，建立一批产业技术联盟。实施“</w:t>
      </w:r>
      <w:r>
        <w:rPr>
          <w:rFonts w:hint="eastAsia" w:ascii="宋体" w:hAnsi="宋体" w:eastAsia="仿宋_GB2312" w:cs="仿宋_GB2312"/>
          <w:color w:val="000000"/>
          <w:sz w:val="26"/>
          <w:szCs w:val="26"/>
        </w:rPr>
        <w:t>互联网</w:t>
      </w:r>
      <w:r>
        <w:rPr>
          <w:rFonts w:hint="eastAsia" w:ascii="仿宋_GB2312" w:hAnsi="仿宋" w:eastAsia="仿宋_GB2312" w:cs="仿宋_GB2312"/>
          <w:color w:val="000000"/>
          <w:sz w:val="36"/>
          <w:szCs w:val="32"/>
        </w:rPr>
        <w:t>+</w:t>
      </w:r>
      <w:r>
        <w:rPr>
          <w:rFonts w:hint="eastAsia" w:ascii="宋体" w:hAnsi="宋体" w:eastAsia="仿宋_GB2312"/>
          <w:color w:val="000000"/>
          <w:sz w:val="26"/>
          <w:szCs w:val="26"/>
        </w:rPr>
        <w:t xml:space="preserve">中小企业”专项行动，推动中小企业优化结构，增强创新能力、配套能力和协作水平，向专业化、精益化和集群化发展。 </w:t>
      </w:r>
    </w:p>
    <w:p>
      <w:pPr>
        <w:pStyle w:val="4"/>
        <w:spacing w:beforeLines="50" w:afterLines="50" w:line="444" w:lineRule="exact"/>
        <w:rPr>
          <w:rFonts w:ascii="宋体" w:hAnsi="宋体" w:cs="仿宋_GB2312"/>
          <w:color w:val="000000"/>
          <w:sz w:val="26"/>
          <w:szCs w:val="26"/>
        </w:rPr>
      </w:pPr>
      <w:bookmarkStart w:id="201" w:name="_Toc428544905"/>
      <w:bookmarkStart w:id="202" w:name="_Toc437010608"/>
      <w:bookmarkStart w:id="203" w:name="_Toc422340987"/>
      <w:r>
        <w:rPr>
          <w:rFonts w:hint="eastAsia" w:ascii="宋体" w:hAnsi="宋体" w:cs="仿宋_GB2312"/>
          <w:color w:val="000000"/>
          <w:sz w:val="26"/>
          <w:szCs w:val="26"/>
        </w:rPr>
        <w:t xml:space="preserve">第五节  </w:t>
      </w:r>
      <w:bookmarkEnd w:id="201"/>
      <w:bookmarkEnd w:id="202"/>
      <w:bookmarkEnd w:id="203"/>
      <w:r>
        <w:rPr>
          <w:rFonts w:hint="eastAsia" w:ascii="宋体" w:hAnsi="宋体" w:cs="仿宋_GB2312"/>
          <w:color w:val="000000"/>
          <w:sz w:val="26"/>
          <w:szCs w:val="26"/>
        </w:rPr>
        <w:t>优化工业布局</w:t>
      </w:r>
    </w:p>
    <w:p>
      <w:pPr>
        <w:spacing w:afterLines="50" w:line="444"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按照区域发展和主体功能区战略优化布局，促进集聚发展。依托北部湾经济区重点行业龙头企业，加快延伸产业链，增强配套能力，培育形成临港产业集群，打造具有区域影响力的沿海石化、能源、汽车、电子信息、修造船、装备制造、林纸一体化等先进制造业基地。依</w:t>
      </w:r>
      <w:r>
        <w:rPr>
          <w:rFonts w:hint="eastAsia" w:ascii="宋体" w:hAnsi="宋体" w:eastAsia="仿宋_GB2312"/>
          <w:color w:val="000000"/>
          <w:spacing w:val="-4"/>
          <w:sz w:val="26"/>
          <w:szCs w:val="26"/>
        </w:rPr>
        <w:t>托西江黄金水道和沿江重点城市，引导汽车、机械、冶金、食品、化工、建材、再生资源等产业和新兴产业沿江布局发展，增强西江经济带工业集聚发展能力，打造制糖、汽车、机械、冶金、建材等产业基地。依托丰富的资源优势，引导有色金属、化工、建材、制糖、茧丝绸、能源等资源性产业延伸产业链，提高资源精深加工水平和资源就地转化率，增强桂西地区资源精深加工水平，打造有色金属、制糖、能源、茧丝绸等工业基地。推动工业园区向创新型园区转型升级，发展特色化、生态化、智慧化园区，建设一批产城融合发展的城市和集聚区。</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60" w:lineRule="exact"/>
              <w:jc w:val="center"/>
              <w:rPr>
                <w:rFonts w:ascii="宋体" w:hAnsi="宋体" w:eastAsia="黑体" w:cs="仿宋_GB2312"/>
                <w:color w:val="000000"/>
                <w:szCs w:val="24"/>
              </w:rPr>
            </w:pPr>
            <w:r>
              <w:rPr>
                <w:rFonts w:hint="eastAsia" w:ascii="宋体" w:hAnsi="宋体" w:eastAsia="黑体" w:cs="仿宋_GB2312"/>
                <w:color w:val="000000"/>
                <w:szCs w:val="24"/>
              </w:rPr>
              <w:t>专栏</w:t>
            </w:r>
            <w:r>
              <w:rPr>
                <w:rFonts w:hint="eastAsia" w:ascii="黑体" w:hAnsi="宋体" w:eastAsia="黑体" w:cs="仿宋_GB2312"/>
                <w:color w:val="000000"/>
                <w:szCs w:val="24"/>
              </w:rPr>
              <w:t>13</w:t>
            </w:r>
            <w:r>
              <w:rPr>
                <w:rFonts w:hint="eastAsia" w:ascii="宋体" w:hAnsi="宋体" w:eastAsia="黑体" w:cs="仿宋_GB2312"/>
                <w:color w:val="000000"/>
                <w:szCs w:val="24"/>
              </w:rPr>
              <w:t xml:space="preserve">  重大产业基地和产城融合园区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6" w:hRule="atLeast"/>
          <w:jc w:val="center"/>
        </w:trPr>
        <w:tc>
          <w:tcPr>
            <w:tcW w:w="6237" w:type="dxa"/>
            <w:vAlign w:val="center"/>
          </w:tcPr>
          <w:p>
            <w:pPr>
              <w:spacing w:line="32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重大产业基地：</w:t>
            </w:r>
            <w:r>
              <w:rPr>
                <w:rFonts w:hint="eastAsia" w:ascii="宋体" w:hAnsi="宋体" w:cs="仿宋_GB2312"/>
                <w:color w:val="000000"/>
                <w:kern w:val="0"/>
                <w:sz w:val="18"/>
                <w:szCs w:val="18"/>
              </w:rPr>
              <w:t>推进柳州、桂林、梧州老工业基地，北部湾先进制造业基地，百色生态铝示范基地，河池生态环保型有色金属示范基地，崇左糖业循环经济示范基地，来宾铝精深加工基地，贺州碳酸钙和新型材料产业基地等，以及一批区域性特色产业基地建设。支持来宾合山、贺州平桂等资源枯竭型城市发展接续产业。</w:t>
            </w:r>
          </w:p>
          <w:p>
            <w:pPr>
              <w:spacing w:line="320" w:lineRule="exact"/>
              <w:rPr>
                <w:rFonts w:ascii="黑体" w:hAnsi="黑体" w:eastAsia="黑体" w:cs="仿宋_GB2312"/>
                <w:color w:val="000000"/>
                <w:kern w:val="0"/>
                <w:sz w:val="18"/>
                <w:szCs w:val="18"/>
              </w:rPr>
            </w:pPr>
            <w:r>
              <w:rPr>
                <w:rFonts w:hint="eastAsia" w:ascii="黑体" w:hAnsi="黑体" w:eastAsia="黑体" w:cs="仿宋_GB2312"/>
                <w:color w:val="000000"/>
                <w:kern w:val="0"/>
                <w:sz w:val="18"/>
                <w:szCs w:val="18"/>
              </w:rPr>
              <w:t>产城融合发展城市和园区：</w:t>
            </w:r>
            <w:r>
              <w:rPr>
                <w:rFonts w:hint="eastAsia" w:ascii="宋体" w:hAnsi="宋体" w:cs="仿宋_GB2312"/>
                <w:color w:val="000000"/>
                <w:kern w:val="0"/>
                <w:sz w:val="18"/>
                <w:szCs w:val="18"/>
              </w:rPr>
              <w:t>建设柳州、贺州、百色、来宾国家产城融合试点城市。重点推进30个产城融合试点园区建设。</w:t>
            </w:r>
          </w:p>
        </w:tc>
      </w:tr>
    </w:tbl>
    <w:p>
      <w:pPr>
        <w:pStyle w:val="3"/>
        <w:spacing w:beforeLines="50" w:afterLines="50" w:line="460" w:lineRule="exact"/>
        <w:rPr>
          <w:rFonts w:ascii="宋体" w:hAnsi="宋体" w:cs="楷体_GB2312"/>
          <w:b/>
          <w:color w:val="000000"/>
          <w:sz w:val="26"/>
          <w:szCs w:val="26"/>
        </w:rPr>
      </w:pPr>
      <w:bookmarkStart w:id="204" w:name="_Toc438458607"/>
      <w:bookmarkStart w:id="205" w:name="_Toc437010609"/>
      <w:bookmarkStart w:id="206" w:name="_Toc428544906"/>
      <w:bookmarkStart w:id="207" w:name="_Toc422340988"/>
      <w:r>
        <w:rPr>
          <w:rFonts w:hint="eastAsia" w:ascii="宋体" w:hAnsi="宋体" w:cs="楷体_GB2312"/>
          <w:b/>
          <w:color w:val="000000"/>
          <w:sz w:val="26"/>
          <w:szCs w:val="26"/>
        </w:rPr>
        <w:t>第二十四章</w:t>
      </w:r>
      <w:r>
        <w:rPr>
          <w:rFonts w:ascii="宋体" w:hAnsi="宋体" w:cs="楷体_GB2312"/>
          <w:b/>
          <w:color w:val="000000"/>
          <w:sz w:val="26"/>
          <w:szCs w:val="26"/>
        </w:rPr>
        <w:t xml:space="preserve"> </w:t>
      </w:r>
      <w:r>
        <w:rPr>
          <w:rFonts w:hint="eastAsia" w:ascii="宋体" w:hAnsi="宋体" w:cs="楷体_GB2312"/>
          <w:b/>
          <w:color w:val="000000"/>
          <w:sz w:val="26"/>
          <w:szCs w:val="26"/>
        </w:rPr>
        <w:t xml:space="preserve"> 加快发展战略性新兴产业</w:t>
      </w:r>
      <w:bookmarkEnd w:id="204"/>
      <w:bookmarkEnd w:id="205"/>
      <w:bookmarkEnd w:id="206"/>
    </w:p>
    <w:bookmarkEnd w:id="207"/>
    <w:p>
      <w:pPr>
        <w:spacing w:line="462"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实施战略性新兴产业倍增计划，以数字化、网络化、绿色化为导向，加快发展战略性新兴产业，推动</w:t>
      </w:r>
      <w:r>
        <w:rPr>
          <w:rFonts w:hint="eastAsia" w:ascii="宋体" w:hAnsi="宋体" w:eastAsia="仿宋_GB2312" w:cs="仿宋_GB2312"/>
          <w:color w:val="000000"/>
          <w:sz w:val="26"/>
          <w:szCs w:val="26"/>
        </w:rPr>
        <w:t>规模化集群化发展，培育成为先导性和支柱性产业。</w:t>
      </w:r>
    </w:p>
    <w:p>
      <w:pPr>
        <w:pStyle w:val="4"/>
        <w:spacing w:beforeLines="50" w:afterLines="50" w:line="462" w:lineRule="exact"/>
        <w:rPr>
          <w:rFonts w:ascii="宋体" w:hAnsi="宋体" w:cs="仿宋_GB2312"/>
          <w:color w:val="000000"/>
          <w:sz w:val="26"/>
          <w:szCs w:val="26"/>
        </w:rPr>
      </w:pPr>
      <w:bookmarkStart w:id="208" w:name="_Toc437010611"/>
      <w:r>
        <w:rPr>
          <w:rFonts w:hint="eastAsia" w:ascii="宋体" w:hAnsi="宋体" w:cs="仿宋_GB2312"/>
          <w:color w:val="000000"/>
          <w:sz w:val="26"/>
          <w:szCs w:val="26"/>
        </w:rPr>
        <w:t>第一节</w:t>
      </w:r>
      <w:r>
        <w:rPr>
          <w:rFonts w:ascii="宋体" w:hAnsi="宋体" w:cs="仿宋_GB2312"/>
          <w:color w:val="000000"/>
          <w:sz w:val="26"/>
          <w:szCs w:val="26"/>
        </w:rPr>
        <w:t xml:space="preserve"> </w:t>
      </w:r>
      <w:r>
        <w:rPr>
          <w:rFonts w:hint="eastAsia" w:ascii="宋体" w:hAnsi="宋体" w:cs="仿宋_GB2312"/>
          <w:color w:val="000000"/>
          <w:sz w:val="26"/>
          <w:szCs w:val="26"/>
        </w:rPr>
        <w:t xml:space="preserve"> 培育壮大新兴产业</w:t>
      </w:r>
      <w:bookmarkEnd w:id="208"/>
    </w:p>
    <w:p>
      <w:pPr>
        <w:spacing w:line="462" w:lineRule="exact"/>
        <w:ind w:firstLine="520" w:firstLineChars="200"/>
        <w:rPr>
          <w:ins w:id="6" w:author="Lenovo" w:date="2015-06-16T11:03:00Z"/>
          <w:rFonts w:ascii="宋体" w:hAnsi="宋体" w:eastAsia="仿宋_GB2312" w:cs="仿宋_GB2312"/>
          <w:color w:val="000000"/>
          <w:sz w:val="26"/>
          <w:szCs w:val="26"/>
        </w:rPr>
      </w:pPr>
      <w:r>
        <w:rPr>
          <w:rFonts w:hint="eastAsia" w:ascii="宋体" w:hAnsi="宋体" w:eastAsia="仿宋_GB2312" w:cs="仿宋_GB2312"/>
          <w:color w:val="000000"/>
          <w:sz w:val="26"/>
          <w:szCs w:val="26"/>
        </w:rPr>
        <w:t>把战略性新兴产业发展与传统工业优化升级结合起来，在做大做强高技术产业基础上，培育一批能够创造形成新的经济增长点、体现创新驱动引领的新兴产业。重点发展新一代信息技术、北斗导航、智能装备制造、节能环保、新材料、新能源汽车、新能源、生物医药、大健康等新兴产业，在人工智能、高效储能、生命科学等前沿领域培育新兴产业，加快形成若干新兴产业集群，力争新兴产业增加值占地区生产总值的比重达到15%以上。</w:t>
      </w:r>
    </w:p>
    <w:p>
      <w:pPr>
        <w:pStyle w:val="4"/>
        <w:spacing w:beforeLines="50" w:afterLines="50" w:line="462" w:lineRule="exact"/>
        <w:rPr>
          <w:rFonts w:ascii="宋体" w:hAnsi="宋体" w:cs="仿宋_GB2312"/>
          <w:color w:val="000000"/>
          <w:sz w:val="26"/>
          <w:szCs w:val="26"/>
        </w:rPr>
      </w:pPr>
      <w:bookmarkStart w:id="209" w:name="_Toc437010612"/>
      <w:bookmarkStart w:id="210" w:name="_Toc428544908"/>
      <w:r>
        <w:rPr>
          <w:rFonts w:hint="eastAsia" w:ascii="宋体" w:hAnsi="宋体" w:cs="仿宋_GB2312"/>
          <w:color w:val="000000"/>
          <w:sz w:val="26"/>
          <w:szCs w:val="26"/>
        </w:rPr>
        <w:t>第二节  完善新兴产业发展环境</w:t>
      </w:r>
      <w:bookmarkEnd w:id="209"/>
      <w:bookmarkEnd w:id="210"/>
    </w:p>
    <w:p>
      <w:pPr>
        <w:spacing w:afterLines="50" w:line="462"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强化核心关键技术攻关，研发一批标志性和带动性较强的先进技术、重点产品和重大装备，推动高新技术产业化。积极培育龙头企业，引进关键技术和项目，引导新兴产业向高新技术产业园区集聚发展。建立有利于新技术、新产品、新模式发展的准入条件、监管规则和标准体系，完善优先使用创新产品、绿色产品的政府采购政策，鼓励民生和基础设施重大项目采用创新产品和服务。完善支持新兴产业发展的税收优惠政策。加强新兴产业技术标准设计。培育产业扶持基金、创投基金、引导基金等，撬动社会资本发展新兴产业。</w:t>
      </w: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1" w:type="dxa"/>
          <w:bottom w:w="0" w:type="dxa"/>
          <w:right w:w="51"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1" w:type="dxa"/>
            <w:bottom w:w="0" w:type="dxa"/>
            <w:right w:w="51" w:type="dxa"/>
          </w:tblCellMar>
        </w:tblPrEx>
        <w:trPr>
          <w:trHeight w:val="510" w:hRule="atLeast"/>
          <w:jc w:val="center"/>
        </w:trPr>
        <w:tc>
          <w:tcPr>
            <w:tcW w:w="6237" w:type="dxa"/>
            <w:vAlign w:val="center"/>
          </w:tcPr>
          <w:p>
            <w:pPr>
              <w:spacing w:line="300" w:lineRule="exact"/>
              <w:jc w:val="center"/>
              <w:rPr>
                <w:rFonts w:ascii="黑体" w:eastAsia="黑体"/>
                <w:color w:val="000000"/>
                <w:szCs w:val="32"/>
              </w:rPr>
            </w:pPr>
            <w:r>
              <w:rPr>
                <w:rFonts w:hint="eastAsia" w:ascii="宋体" w:hAnsi="宋体" w:eastAsia="黑体" w:cs="仿宋_GB2312"/>
                <w:color w:val="000000"/>
                <w:szCs w:val="24"/>
              </w:rPr>
              <w:t>专栏</w:t>
            </w:r>
            <w:r>
              <w:rPr>
                <w:rFonts w:hint="eastAsia" w:ascii="黑体" w:hAnsi="宋体" w:eastAsia="黑体" w:cs="仿宋_GB2312"/>
                <w:color w:val="000000"/>
                <w:szCs w:val="24"/>
              </w:rPr>
              <w:t>14</w:t>
            </w:r>
            <w:r>
              <w:rPr>
                <w:rFonts w:hint="eastAsia" w:ascii="宋体" w:hAnsi="宋体" w:eastAsia="黑体" w:cs="仿宋_GB2312"/>
                <w:color w:val="000000"/>
                <w:szCs w:val="24"/>
              </w:rPr>
              <w:t xml:space="preserve">  先进制造业和新兴产业发展重点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1" w:type="dxa"/>
            <w:bottom w:w="0" w:type="dxa"/>
            <w:right w:w="51" w:type="dxa"/>
          </w:tblCellMar>
        </w:tblPrEx>
        <w:trPr>
          <w:trHeight w:val="4574" w:hRule="atLeast"/>
          <w:jc w:val="center"/>
        </w:trPr>
        <w:tc>
          <w:tcPr>
            <w:tcW w:w="6237" w:type="dxa"/>
          </w:tcPr>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新一代信息技术：</w:t>
            </w:r>
            <w:r>
              <w:rPr>
                <w:rFonts w:hint="eastAsia" w:ascii="宋体" w:hAnsi="宋体" w:cs="仿宋_GB2312"/>
                <w:color w:val="000000"/>
                <w:kern w:val="0"/>
                <w:sz w:val="18"/>
                <w:szCs w:val="18"/>
              </w:rPr>
              <w:t>重点发展新一代移动通信、移动互联网、云计算、大数据、物联网、地理信息、智能家居、北斗导航应用等高端信息服务。</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先进装备制造：</w:t>
            </w:r>
            <w:r>
              <w:rPr>
                <w:rFonts w:hint="eastAsia" w:ascii="宋体" w:hAnsi="宋体" w:cs="仿宋_GB2312"/>
                <w:color w:val="000000"/>
                <w:kern w:val="0"/>
                <w:sz w:val="18"/>
                <w:szCs w:val="18"/>
              </w:rPr>
              <w:t>重点发展轨道交通、航空航天、海洋工程、智能制造等装备制造产业。</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高端数控机床和机器人：</w:t>
            </w:r>
            <w:r>
              <w:rPr>
                <w:rFonts w:hint="eastAsia" w:ascii="宋体" w:hAnsi="宋体" w:cs="仿宋_GB2312"/>
                <w:color w:val="000000"/>
                <w:kern w:val="0"/>
                <w:sz w:val="18"/>
                <w:szCs w:val="18"/>
              </w:rPr>
              <w:t>重点开发一批精密、高速、高效、柔性数控机床与基础制造装备及集成制造系统，发展工业机器人、特种机器人以及家政服务、医疗健康等服务机器人。</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通用航空：</w:t>
            </w:r>
            <w:r>
              <w:rPr>
                <w:rFonts w:hint="eastAsia" w:ascii="宋体" w:hAnsi="宋体" w:cs="仿宋_GB2312"/>
                <w:color w:val="000000"/>
                <w:kern w:val="0"/>
                <w:sz w:val="18"/>
                <w:szCs w:val="18"/>
              </w:rPr>
              <w:t>重点发展通用航空设备维修和制造、展示交易、融资租赁、航空培训、航空运营、低空旅游、航空维修、航空文化等产业。</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节能环保：</w:t>
            </w:r>
            <w:r>
              <w:rPr>
                <w:rFonts w:hint="eastAsia" w:ascii="宋体" w:hAnsi="宋体" w:cs="仿宋_GB2312"/>
                <w:color w:val="000000"/>
                <w:kern w:val="0"/>
                <w:sz w:val="18"/>
                <w:szCs w:val="18"/>
              </w:rPr>
              <w:t>重点发展高效节能、先进环保、资源循环利用的关键技术装备、产品和服务。</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新材料：</w:t>
            </w:r>
            <w:r>
              <w:rPr>
                <w:rFonts w:hint="eastAsia" w:ascii="宋体" w:hAnsi="宋体" w:cs="仿宋_GB2312"/>
                <w:color w:val="000000"/>
                <w:kern w:val="0"/>
                <w:sz w:val="18"/>
                <w:szCs w:val="18"/>
              </w:rPr>
              <w:t>重点发展高端铝合金、有色金属、石墨烯、稀土、新型建筑、非金属等新型材料。</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新能源汽车：</w:t>
            </w:r>
            <w:r>
              <w:rPr>
                <w:rFonts w:hint="eastAsia" w:ascii="宋体" w:hAnsi="宋体" w:cs="仿宋_GB2312"/>
                <w:color w:val="000000"/>
                <w:kern w:val="0"/>
                <w:sz w:val="18"/>
                <w:szCs w:val="18"/>
              </w:rPr>
              <w:t>重点发展纯电动汽车、插电式混合动力汽车、燃料电池汽车等。</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新能源：</w:t>
            </w:r>
            <w:r>
              <w:rPr>
                <w:rFonts w:hint="eastAsia" w:ascii="宋体" w:hAnsi="宋体" w:cs="仿宋_GB2312"/>
                <w:color w:val="000000"/>
                <w:kern w:val="0"/>
                <w:sz w:val="18"/>
                <w:szCs w:val="18"/>
              </w:rPr>
              <w:t>发展核能、太阳能、风能和生物质能等产业。</w:t>
            </w:r>
          </w:p>
          <w:p>
            <w:pPr>
              <w:spacing w:line="300" w:lineRule="exact"/>
              <w:rPr>
                <w:rFonts w:ascii="宋体" w:hAnsi="宋体" w:cs="仿宋_GB2312"/>
                <w:color w:val="000000"/>
                <w:kern w:val="0"/>
                <w:sz w:val="18"/>
                <w:szCs w:val="18"/>
              </w:rPr>
            </w:pPr>
            <w:r>
              <w:rPr>
                <w:rFonts w:hint="eastAsia" w:ascii="黑体" w:hAnsi="黑体" w:eastAsia="黑体"/>
                <w:color w:val="000000"/>
                <w:sz w:val="18"/>
                <w:szCs w:val="18"/>
              </w:rPr>
              <w:t>生物医药：</w:t>
            </w:r>
            <w:r>
              <w:rPr>
                <w:rFonts w:hint="eastAsia" w:ascii="宋体" w:hAnsi="宋体" w:cs="仿宋_GB2312"/>
                <w:color w:val="000000"/>
                <w:kern w:val="0"/>
                <w:sz w:val="18"/>
                <w:szCs w:val="18"/>
              </w:rPr>
              <w:t>建设壮瑶药、国家基本药物原料药和建设珍稀濒危动植物繁育研发基地。</w:t>
            </w:r>
          </w:p>
          <w:p>
            <w:pPr>
              <w:spacing w:line="300" w:lineRule="exact"/>
              <w:rPr>
                <w:rFonts w:ascii="黑体" w:hAnsi="黑体" w:eastAsia="黑体"/>
                <w:color w:val="000000"/>
                <w:szCs w:val="21"/>
              </w:rPr>
            </w:pPr>
            <w:r>
              <w:rPr>
                <w:rFonts w:hint="eastAsia" w:ascii="黑体" w:hAnsi="黑体" w:eastAsia="黑体"/>
                <w:color w:val="000000"/>
                <w:sz w:val="18"/>
                <w:szCs w:val="18"/>
              </w:rPr>
              <w:t>大健康：</w:t>
            </w:r>
            <w:r>
              <w:rPr>
                <w:rFonts w:hint="eastAsia" w:ascii="宋体" w:hAnsi="宋体" w:cs="仿宋_GB2312"/>
                <w:color w:val="000000"/>
                <w:kern w:val="0"/>
                <w:sz w:val="18"/>
                <w:szCs w:val="18"/>
              </w:rPr>
              <w:t>发展休闲健身、医疗保健、长寿食品、旅游装备、健康器材、医疗器械等产业。</w:t>
            </w:r>
          </w:p>
        </w:tc>
      </w:tr>
    </w:tbl>
    <w:p>
      <w:pPr>
        <w:pStyle w:val="2"/>
        <w:spacing w:beforeLines="70" w:afterLines="50" w:line="460" w:lineRule="exact"/>
        <w:rPr>
          <w:rFonts w:ascii="宋体" w:hAnsi="宋体" w:eastAsia="楷体_GB2312" w:cs="楷体_GB2312"/>
          <w:b/>
          <w:color w:val="000000"/>
          <w:kern w:val="2"/>
          <w:sz w:val="26"/>
          <w:szCs w:val="26"/>
        </w:rPr>
      </w:pPr>
      <w:bookmarkStart w:id="211" w:name="_Toc437010613"/>
      <w:bookmarkStart w:id="212" w:name="_Toc438458608"/>
      <w:bookmarkStart w:id="213" w:name="_Toc422340992"/>
      <w:bookmarkStart w:id="214" w:name="_Toc428544909"/>
      <w:r>
        <w:rPr>
          <w:rFonts w:hint="eastAsia" w:ascii="宋体" w:hAnsi="宋体" w:eastAsia="楷体_GB2312" w:cs="楷体_GB2312"/>
          <w:b/>
          <w:color w:val="000000"/>
          <w:kern w:val="2"/>
          <w:sz w:val="26"/>
          <w:szCs w:val="26"/>
        </w:rPr>
        <w:t>第二十五章</w:t>
      </w:r>
      <w:r>
        <w:rPr>
          <w:rFonts w:hint="eastAsia" w:ascii="宋体" w:hAnsi="宋体" w:cs="楷体_GB2312"/>
          <w:b/>
          <w:color w:val="000000"/>
          <w:sz w:val="26"/>
          <w:szCs w:val="26"/>
        </w:rPr>
        <w:t xml:space="preserve">  </w:t>
      </w:r>
      <w:r>
        <w:rPr>
          <w:rFonts w:hint="eastAsia" w:ascii="宋体" w:hAnsi="宋体" w:eastAsia="楷体_GB2312" w:cs="楷体_GB2312"/>
          <w:b/>
          <w:color w:val="000000"/>
          <w:kern w:val="2"/>
          <w:sz w:val="26"/>
          <w:szCs w:val="26"/>
        </w:rPr>
        <w:t>提升发展现代服务业</w:t>
      </w:r>
      <w:bookmarkEnd w:id="211"/>
      <w:bookmarkEnd w:id="212"/>
    </w:p>
    <w:p>
      <w:pPr>
        <w:spacing w:line="46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按照减少管制、打破垄断、扩大开放、促进竞争的要求，开展加快发展服务业行动，促进服务业发展提速、比重提高、水平提升，构建现代服务业体系。</w:t>
      </w:r>
    </w:p>
    <w:p>
      <w:pPr>
        <w:pStyle w:val="3"/>
        <w:spacing w:beforeLines="50" w:afterLines="50" w:line="460" w:lineRule="exact"/>
        <w:rPr>
          <w:rFonts w:ascii="宋体" w:hAnsi="宋体" w:eastAsia="仿宋_GB2312" w:cs="Times New Roman"/>
          <w:b/>
          <w:color w:val="000000"/>
          <w:sz w:val="26"/>
          <w:szCs w:val="26"/>
        </w:rPr>
      </w:pPr>
      <w:bookmarkStart w:id="215" w:name="_Toc438458609"/>
      <w:bookmarkStart w:id="216" w:name="_Toc438297551"/>
      <w:bookmarkStart w:id="217" w:name="_Toc437010614"/>
      <w:bookmarkStart w:id="218" w:name="_Toc428544917"/>
      <w:bookmarkStart w:id="219" w:name="_Toc422341000"/>
      <w:r>
        <w:rPr>
          <w:rFonts w:hint="eastAsia" w:ascii="宋体" w:hAnsi="宋体" w:eastAsia="仿宋_GB2312" w:cs="Times New Roman"/>
          <w:b/>
          <w:color w:val="000000"/>
          <w:sz w:val="26"/>
          <w:szCs w:val="26"/>
        </w:rPr>
        <w:t>第一节  提质发展生产性服务业</w:t>
      </w:r>
      <w:bookmarkEnd w:id="215"/>
      <w:bookmarkEnd w:id="216"/>
      <w:bookmarkEnd w:id="217"/>
      <w:bookmarkEnd w:id="218"/>
      <w:bookmarkEnd w:id="219"/>
    </w:p>
    <w:p>
      <w:pPr>
        <w:spacing w:afterLines="50" w:line="46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大力发展现代物流、信息服务、金融服务、电子商务、商务会展、科技服务、人力资源服务、节能环保服务、海洋服务等生产性服务业，引导工业企业分离和外包服务功能，创新商业模式和服务业态，促进生产性服务业与制造业、现代农业有机融合，向专业化价值链高端延伸，提升生产性服务业水平和比重。</w:t>
      </w: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60" w:lineRule="exact"/>
              <w:jc w:val="center"/>
              <w:rPr>
                <w:rFonts w:ascii="黑体" w:hAnsi="黑体" w:eastAsia="黑体"/>
                <w:color w:val="000000"/>
                <w:szCs w:val="24"/>
              </w:rPr>
            </w:pPr>
            <w:r>
              <w:rPr>
                <w:rFonts w:hint="eastAsia" w:ascii="黑体" w:hAnsi="黑体" w:eastAsia="黑体" w:cs="仿宋_GB2312"/>
                <w:color w:val="000000"/>
                <w:szCs w:val="24"/>
              </w:rPr>
              <w:t>专栏15  生产性服务业发展重点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237" w:type="dxa"/>
          </w:tcPr>
          <w:p>
            <w:pPr>
              <w:spacing w:line="330" w:lineRule="exact"/>
              <w:rPr>
                <w:rFonts w:ascii="宋体" w:hAnsi="宋体"/>
                <w:color w:val="000000"/>
                <w:sz w:val="18"/>
                <w:szCs w:val="18"/>
              </w:rPr>
            </w:pPr>
            <w:r>
              <w:rPr>
                <w:rFonts w:hint="eastAsia" w:ascii="黑体" w:hAnsi="黑体" w:eastAsia="黑体"/>
                <w:color w:val="000000"/>
                <w:sz w:val="18"/>
                <w:szCs w:val="18"/>
              </w:rPr>
              <w:t>信息服务：</w:t>
            </w:r>
            <w:r>
              <w:rPr>
                <w:rFonts w:hint="eastAsia" w:ascii="宋体" w:hAnsi="宋体"/>
                <w:color w:val="000000"/>
                <w:sz w:val="18"/>
                <w:szCs w:val="18"/>
              </w:rPr>
              <w:t>建设南宁、柳州、桂林、北海、梧州、钦州信息服务基地。实施“互联网</w:t>
            </w:r>
            <w:r>
              <w:rPr>
                <w:rFonts w:hint="eastAsia" w:ascii="宋体" w:hAnsi="宋体"/>
                <w:b/>
                <w:color w:val="000000"/>
                <w:sz w:val="24"/>
                <w:szCs w:val="18"/>
              </w:rPr>
              <w:t>+</w:t>
            </w:r>
            <w:r>
              <w:rPr>
                <w:rFonts w:ascii="宋体" w:hAnsi="宋体"/>
                <w:color w:val="000000"/>
                <w:sz w:val="18"/>
                <w:szCs w:val="18"/>
              </w:rPr>
              <w:t>”</w:t>
            </w:r>
            <w:r>
              <w:rPr>
                <w:rFonts w:hint="eastAsia" w:ascii="宋体" w:hAnsi="宋体"/>
                <w:color w:val="000000"/>
                <w:sz w:val="18"/>
                <w:szCs w:val="18"/>
              </w:rPr>
              <w:t>行动,发展物联网、智慧云服务、互联网金融、工业和农业互联网、家庭社区互联网、互联网基础服务和北斗卫星系统运用等产业。实施信息惠民工程，促进信息资源共享和开发利用。</w:t>
            </w:r>
          </w:p>
          <w:p>
            <w:pPr>
              <w:spacing w:line="330" w:lineRule="exact"/>
              <w:rPr>
                <w:rFonts w:ascii="宋体" w:hAnsi="宋体"/>
                <w:color w:val="000000"/>
                <w:sz w:val="18"/>
                <w:szCs w:val="18"/>
              </w:rPr>
            </w:pPr>
            <w:r>
              <w:rPr>
                <w:rFonts w:hint="eastAsia" w:ascii="黑体" w:hAnsi="黑体" w:eastAsia="黑体"/>
                <w:color w:val="000000"/>
                <w:sz w:val="18"/>
                <w:szCs w:val="18"/>
              </w:rPr>
              <w:t>金融服务：</w:t>
            </w:r>
            <w:r>
              <w:rPr>
                <w:rFonts w:hint="eastAsia" w:ascii="宋体" w:hAnsi="宋体"/>
                <w:color w:val="000000"/>
                <w:sz w:val="18"/>
                <w:szCs w:val="18"/>
              </w:rPr>
              <w:t>支持金融机构创新金融产品，改善金融服务，优化融资结构和信贷资金配置。推动农村金融产品和服务创新。扩大农业保险覆盖范围。完善第三方支付、移动支付、电商金融等公共平台，培育互联网金融公司和互联网金融新业态。发展绿色金融和科技金融。</w:t>
            </w:r>
          </w:p>
          <w:p>
            <w:pPr>
              <w:spacing w:line="330" w:lineRule="exact"/>
              <w:rPr>
                <w:rFonts w:ascii="宋体" w:hAnsi="宋体"/>
                <w:color w:val="000000"/>
                <w:sz w:val="18"/>
                <w:szCs w:val="18"/>
              </w:rPr>
            </w:pPr>
            <w:r>
              <w:rPr>
                <w:rFonts w:hint="eastAsia" w:ascii="黑体" w:hAnsi="黑体" w:eastAsia="黑体"/>
                <w:color w:val="000000"/>
                <w:sz w:val="18"/>
                <w:szCs w:val="18"/>
              </w:rPr>
              <w:t>电子商务：</w:t>
            </w:r>
            <w:r>
              <w:rPr>
                <w:rFonts w:hint="eastAsia" w:ascii="宋体" w:hAnsi="宋体"/>
                <w:color w:val="000000"/>
                <w:sz w:val="18"/>
                <w:szCs w:val="18"/>
              </w:rPr>
              <w:t>实施“电商东盟、电商广西”工程，建设中国-东盟跨境电子商务基地，培育一批大宗商品电子商务交易平台和提供第三方服务的电子商务平台。优化跨境电子商务通关服务和先行先试，推进南宁国家跨境电子商务服务试点，建设面向东盟电子商务总部。支持制造业网络直销、线上线下业务融合、社交电子商务、网络团购、社区综合电子商务应用等新业态发展。实施“电子商务进农村”工程，建成县、乡、村三级电子商务服务体系。规划建设电子商务创业园区。</w:t>
            </w:r>
          </w:p>
          <w:p>
            <w:pPr>
              <w:spacing w:line="330" w:lineRule="exact"/>
              <w:rPr>
                <w:rFonts w:ascii="宋体" w:hAnsi="宋体"/>
                <w:color w:val="000000"/>
                <w:sz w:val="18"/>
                <w:szCs w:val="18"/>
              </w:rPr>
            </w:pPr>
            <w:r>
              <w:rPr>
                <w:rFonts w:hint="eastAsia" w:ascii="黑体" w:hAnsi="黑体" w:eastAsia="黑体"/>
                <w:color w:val="000000"/>
                <w:sz w:val="18"/>
                <w:szCs w:val="18"/>
              </w:rPr>
              <w:t>商务会展：</w:t>
            </w:r>
            <w:r>
              <w:rPr>
                <w:rFonts w:hint="eastAsia" w:ascii="宋体" w:hAnsi="宋体"/>
                <w:color w:val="000000"/>
                <w:sz w:val="18"/>
                <w:szCs w:val="18"/>
              </w:rPr>
              <w:t>发展商贸服务以及会计、审计、税务、广告、工程咨询、认证认可、信用评估、经纪代理、市场调查、品牌营销等专业服务，以及律师、公证、仲裁、司法鉴定等法律服务。培育发展项目策划、并购重组、财务顾问等企业管理服务。建设南宁会展经济核心区，培育一批有影响力的特色会展品牌。</w:t>
            </w:r>
          </w:p>
          <w:p>
            <w:pPr>
              <w:spacing w:line="300" w:lineRule="exact"/>
              <w:rPr>
                <w:rFonts w:ascii="宋体" w:hAnsi="宋体"/>
                <w:color w:val="000000"/>
                <w:sz w:val="18"/>
                <w:szCs w:val="18"/>
              </w:rPr>
            </w:pPr>
            <w:r>
              <w:rPr>
                <w:rFonts w:hint="eastAsia" w:ascii="黑体" w:hAnsi="黑体" w:eastAsia="黑体"/>
                <w:color w:val="000000"/>
                <w:sz w:val="18"/>
                <w:szCs w:val="18"/>
              </w:rPr>
              <w:t>科技服务：</w:t>
            </w:r>
            <w:r>
              <w:rPr>
                <w:rFonts w:hint="eastAsia" w:ascii="宋体" w:hAnsi="宋体"/>
                <w:color w:val="000000"/>
                <w:sz w:val="18"/>
                <w:szCs w:val="18"/>
              </w:rPr>
              <w:t>搭建科技公共服务平台，健全以技术交易市场为核心的技术转移和产业化服务体系，发展研发设计、技术转移、检验检测认证、创业孵化、知识产权、科技金融、科技咨询、科学普及等科技服务，构建科技服务产业集群。培育科技服务新型业态。</w:t>
            </w:r>
          </w:p>
          <w:p>
            <w:pPr>
              <w:spacing w:line="300" w:lineRule="exact"/>
              <w:rPr>
                <w:rFonts w:ascii="宋体" w:hAnsi="宋体"/>
                <w:color w:val="000000"/>
                <w:sz w:val="18"/>
                <w:szCs w:val="18"/>
              </w:rPr>
            </w:pPr>
            <w:r>
              <w:rPr>
                <w:rFonts w:hint="eastAsia" w:ascii="黑体" w:hAnsi="黑体" w:eastAsia="黑体"/>
                <w:color w:val="000000"/>
                <w:sz w:val="18"/>
                <w:szCs w:val="18"/>
              </w:rPr>
              <w:t>人力资源服务：</w:t>
            </w:r>
            <w:r>
              <w:rPr>
                <w:rFonts w:hint="eastAsia" w:ascii="宋体" w:hAnsi="宋体"/>
                <w:color w:val="000000"/>
                <w:sz w:val="18"/>
                <w:szCs w:val="18"/>
              </w:rPr>
              <w:t>发展人才招聘、人才培训、人力资源服务外包等业态和对外劳务合作，建设中国-东盟劳务合作市场。</w:t>
            </w:r>
          </w:p>
          <w:p>
            <w:pPr>
              <w:spacing w:line="300" w:lineRule="exact"/>
              <w:rPr>
                <w:rFonts w:ascii="宋体" w:hAnsi="宋体"/>
                <w:color w:val="000000"/>
                <w:sz w:val="18"/>
                <w:szCs w:val="18"/>
              </w:rPr>
            </w:pPr>
            <w:r>
              <w:rPr>
                <w:rFonts w:hint="eastAsia" w:ascii="黑体" w:hAnsi="黑体" w:eastAsia="黑体"/>
                <w:color w:val="000000"/>
                <w:sz w:val="18"/>
                <w:szCs w:val="18"/>
              </w:rPr>
              <w:t>节能环保服务：</w:t>
            </w:r>
            <w:r>
              <w:rPr>
                <w:rFonts w:hint="eastAsia" w:ascii="宋体" w:hAnsi="宋体"/>
                <w:color w:val="000000"/>
                <w:sz w:val="18"/>
                <w:szCs w:val="18"/>
              </w:rPr>
              <w:t>开展节能降耗、资源开采、生产消耗、废弃物利用等节能环保服务。在城镇污水垃圾处理、烟气除尘脱硫脱硝、危险废弃物处置、工业污染治理等领域，推进合同环境服务和环境治理特许经营。发展生态环境修复、环境风险与损害评价、绿色认证、排污权交易等新兴环保服务业。</w:t>
            </w:r>
          </w:p>
          <w:p>
            <w:pPr>
              <w:spacing w:line="300" w:lineRule="exact"/>
              <w:rPr>
                <w:rFonts w:ascii="宋体" w:hAnsi="宋体"/>
                <w:color w:val="000000"/>
                <w:sz w:val="18"/>
                <w:szCs w:val="18"/>
              </w:rPr>
            </w:pPr>
            <w:r>
              <w:rPr>
                <w:rFonts w:hint="eastAsia" w:ascii="黑体" w:hAnsi="黑体" w:eastAsia="黑体"/>
                <w:color w:val="000000"/>
                <w:sz w:val="18"/>
                <w:szCs w:val="18"/>
              </w:rPr>
              <w:t>海洋服务：</w:t>
            </w:r>
            <w:r>
              <w:rPr>
                <w:rFonts w:hint="eastAsia" w:ascii="宋体" w:hAnsi="宋体"/>
                <w:color w:val="000000"/>
                <w:sz w:val="18"/>
                <w:szCs w:val="18"/>
              </w:rPr>
              <w:t>发展为海洋渔业和海洋油气、化工、生物医药、海工装备等海洋产业服务，以及航运金融业和船舶管理、船舶交易、船舶维修、航运信息咨询等航运服务业。</w:t>
            </w:r>
          </w:p>
        </w:tc>
      </w:tr>
    </w:tbl>
    <w:p>
      <w:pPr>
        <w:pStyle w:val="3"/>
        <w:spacing w:beforeLines="50" w:afterLines="50" w:line="460" w:lineRule="exact"/>
        <w:rPr>
          <w:rFonts w:ascii="宋体" w:hAnsi="宋体" w:eastAsia="仿宋_GB2312" w:cs="Times New Roman"/>
          <w:b/>
          <w:color w:val="000000"/>
          <w:sz w:val="26"/>
          <w:szCs w:val="26"/>
        </w:rPr>
      </w:pPr>
      <w:bookmarkStart w:id="220" w:name="_Toc422341006"/>
      <w:bookmarkStart w:id="221" w:name="_Toc428544922"/>
      <w:bookmarkStart w:id="222" w:name="_Toc437010615"/>
      <w:bookmarkStart w:id="223" w:name="_Toc438458610"/>
      <w:bookmarkStart w:id="224" w:name="_Toc438297552"/>
      <w:r>
        <w:rPr>
          <w:rFonts w:hint="eastAsia" w:ascii="宋体" w:hAnsi="宋体" w:eastAsia="仿宋_GB2312" w:cs="Times New Roman"/>
          <w:b/>
          <w:color w:val="000000"/>
          <w:sz w:val="26"/>
          <w:szCs w:val="26"/>
        </w:rPr>
        <w:t>第二节  升级发展生活性服务业</w:t>
      </w:r>
      <w:bookmarkEnd w:id="220"/>
      <w:bookmarkEnd w:id="221"/>
      <w:bookmarkEnd w:id="222"/>
      <w:bookmarkEnd w:id="223"/>
      <w:bookmarkEnd w:id="224"/>
    </w:p>
    <w:p>
      <w:pPr>
        <w:spacing w:afterLines="50" w:line="460" w:lineRule="exact"/>
        <w:ind w:firstLine="520" w:firstLineChars="200"/>
        <w:rPr>
          <w:rFonts w:ascii="宋体" w:hAnsi="宋体" w:eastAsia="仿宋_GB2312"/>
          <w:color w:val="000000"/>
          <w:sz w:val="32"/>
          <w:szCs w:val="32"/>
        </w:rPr>
      </w:pPr>
      <w:r>
        <w:rPr>
          <w:rFonts w:hint="eastAsia" w:ascii="宋体" w:hAnsi="宋体" w:eastAsia="仿宋_GB2312"/>
          <w:color w:val="000000"/>
          <w:sz w:val="26"/>
          <w:szCs w:val="26"/>
        </w:rPr>
        <w:t>以适应城乡居民消费升级为导向，大力发展旅游休闲、商贸流通、健康养生、家政服务、文化体育、教育培训、房地产等生活性服务业，推进生活性服务业向精细化和高品质发展，提升服务质量和档次，促进规模化、品牌化、网络化经营，满足居民日益增长的多样化、个性化消费需求。</w:t>
      </w: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60" w:lineRule="exact"/>
              <w:jc w:val="center"/>
              <w:rPr>
                <w:rFonts w:ascii="黑体" w:hAnsi="黑体" w:eastAsia="黑体"/>
                <w:color w:val="000000"/>
                <w:szCs w:val="24"/>
              </w:rPr>
            </w:pPr>
            <w:r>
              <w:rPr>
                <w:rFonts w:hint="eastAsia" w:ascii="黑体" w:hAnsi="黑体" w:eastAsia="黑体" w:cs="仿宋_GB2312"/>
                <w:color w:val="000000"/>
                <w:szCs w:val="24"/>
              </w:rPr>
              <w:t>专栏16  生活性服务业发展重点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237" w:type="dxa"/>
          </w:tcPr>
          <w:p>
            <w:pPr>
              <w:spacing w:line="300" w:lineRule="exact"/>
              <w:rPr>
                <w:rFonts w:ascii="宋体" w:hAnsi="宋体" w:cs="宋体"/>
                <w:color w:val="000000"/>
                <w:kern w:val="0"/>
                <w:sz w:val="18"/>
                <w:szCs w:val="18"/>
              </w:rPr>
            </w:pPr>
            <w:r>
              <w:rPr>
                <w:rFonts w:hint="eastAsia" w:ascii="宋体" w:hAnsi="宋体" w:cs="宋体"/>
                <w:b/>
                <w:color w:val="000000"/>
                <w:kern w:val="0"/>
                <w:sz w:val="18"/>
                <w:szCs w:val="18"/>
              </w:rPr>
              <w:t>商贸流通：</w:t>
            </w:r>
            <w:r>
              <w:rPr>
                <w:rFonts w:hint="eastAsia" w:ascii="宋体" w:hAnsi="宋体" w:cs="宋体"/>
                <w:color w:val="000000"/>
                <w:kern w:val="0"/>
                <w:sz w:val="18"/>
                <w:szCs w:val="18"/>
              </w:rPr>
              <w:t>改造提升传统商品交易市场，建设一批大宗商品交易集散平台、专业市场和金融商务区、城市综合体、商业街，形成钢铁、食糖、汽车、有色金属、建材装饰、粮食和农副产品、中药材等特色大宗商品交易集散中心。加强乡镇商贸综合体建设。拓展南菜北运工程和“广西特产行销全国”活动。打造区域性国际商贸中心。</w:t>
            </w:r>
          </w:p>
          <w:p>
            <w:pPr>
              <w:spacing w:line="300" w:lineRule="exact"/>
              <w:rPr>
                <w:rFonts w:ascii="宋体" w:hAnsi="宋体" w:cs="宋体"/>
                <w:color w:val="000000"/>
                <w:kern w:val="0"/>
                <w:sz w:val="18"/>
                <w:szCs w:val="18"/>
              </w:rPr>
            </w:pPr>
            <w:r>
              <w:rPr>
                <w:rFonts w:hint="eastAsia" w:ascii="黑体" w:hAnsi="黑体" w:eastAsia="黑体" w:cs="宋体"/>
                <w:color w:val="000000"/>
                <w:kern w:val="0"/>
                <w:sz w:val="18"/>
                <w:szCs w:val="18"/>
                <w:lang w:val="zh-CN"/>
              </w:rPr>
              <w:t>健康养生：</w:t>
            </w:r>
            <w:r>
              <w:rPr>
                <w:rFonts w:hint="eastAsia" w:ascii="宋体" w:hAnsi="宋体" w:cs="宋体"/>
                <w:color w:val="000000"/>
                <w:kern w:val="0"/>
                <w:sz w:val="18"/>
                <w:szCs w:val="18"/>
              </w:rPr>
              <w:t>建设巴马长寿养生、桂北休闲旅游养生、北部湾国际滨海养生、西江生态养老产业带、贺州生态健康等示范区和南宁养老服务业核心示范区、梧州岭南生态养生新城。完善健康养老服务产业链，发展医疗保健、健康保险、体检、咨询等健康服务，支持健康养老产品研发制造和应用，发展壮医、瑶医、苗医等民族医药，推广中医疗法，发展营养饮食、调理保健、慢性病预防等养生服务。</w:t>
            </w:r>
          </w:p>
          <w:p>
            <w:pPr>
              <w:spacing w:line="300" w:lineRule="exact"/>
              <w:rPr>
                <w:rFonts w:ascii="宋体" w:hAnsi="宋体" w:cs="宋体"/>
                <w:color w:val="000000"/>
                <w:kern w:val="0"/>
                <w:sz w:val="18"/>
                <w:szCs w:val="18"/>
              </w:rPr>
            </w:pPr>
            <w:r>
              <w:rPr>
                <w:rFonts w:hint="eastAsia" w:ascii="黑体" w:hAnsi="黑体" w:eastAsia="黑体" w:cs="宋体"/>
                <w:color w:val="000000"/>
                <w:kern w:val="0"/>
                <w:sz w:val="18"/>
                <w:szCs w:val="18"/>
                <w:lang w:val="zh-CN"/>
              </w:rPr>
              <w:t>家</w:t>
            </w:r>
            <w:r>
              <w:rPr>
                <w:rFonts w:hint="eastAsia" w:ascii="黑体" w:hAnsi="黑体" w:eastAsia="黑体" w:cs="宋体"/>
                <w:color w:val="000000"/>
                <w:spacing w:val="-4"/>
                <w:kern w:val="0"/>
                <w:sz w:val="18"/>
                <w:szCs w:val="18"/>
                <w:lang w:val="zh-CN"/>
              </w:rPr>
              <w:t>政服务：</w:t>
            </w:r>
            <w:r>
              <w:rPr>
                <w:rFonts w:hint="eastAsia" w:ascii="宋体" w:hAnsi="宋体" w:cs="宋体"/>
                <w:color w:val="000000"/>
                <w:spacing w:val="-4"/>
                <w:kern w:val="0"/>
                <w:sz w:val="18"/>
                <w:szCs w:val="18"/>
              </w:rPr>
              <w:t>发展家政、养老、残疾人居家和病患陪护等服务，以及家庭物流配送、家庭教育等特色服务，形成多层次多形式的家庭服务市场和家庭经营机构。建设家政服务业公益性信息服务平台。</w:t>
            </w:r>
          </w:p>
          <w:p>
            <w:pPr>
              <w:spacing w:line="300" w:lineRule="exact"/>
              <w:rPr>
                <w:rFonts w:ascii="宋体" w:hAnsi="宋体" w:cs="宋体"/>
                <w:color w:val="000000"/>
                <w:kern w:val="0"/>
                <w:sz w:val="18"/>
                <w:szCs w:val="18"/>
              </w:rPr>
            </w:pPr>
            <w:r>
              <w:rPr>
                <w:rFonts w:hint="eastAsia" w:ascii="黑体" w:hAnsi="黑体" w:eastAsia="黑体" w:cs="宋体"/>
                <w:color w:val="000000"/>
                <w:kern w:val="0"/>
                <w:sz w:val="18"/>
                <w:szCs w:val="18"/>
                <w:lang w:val="zh-CN"/>
              </w:rPr>
              <w:t>教育培训：</w:t>
            </w:r>
            <w:r>
              <w:rPr>
                <w:rFonts w:hint="eastAsia" w:ascii="宋体" w:hAnsi="宋体" w:cs="宋体"/>
                <w:color w:val="000000"/>
                <w:kern w:val="0"/>
                <w:sz w:val="18"/>
                <w:szCs w:val="18"/>
              </w:rPr>
              <w:t>建设一批职业院校、县级职教中心，兴办教育培训机构。依托重点企业和项目建设实习和实训基地、研发中心，打造全国旅游培训和区域性国际培训基地。</w:t>
            </w:r>
          </w:p>
          <w:p>
            <w:pPr>
              <w:spacing w:line="300" w:lineRule="exact"/>
              <w:rPr>
                <w:rFonts w:ascii="宋体" w:hAnsi="宋体" w:cs="宋体"/>
                <w:color w:val="000000"/>
                <w:kern w:val="0"/>
                <w:sz w:val="18"/>
                <w:szCs w:val="18"/>
              </w:rPr>
            </w:pPr>
            <w:r>
              <w:rPr>
                <w:rFonts w:hint="eastAsia" w:ascii="黑体" w:hAnsi="黑体" w:eastAsia="黑体" w:cs="宋体"/>
                <w:color w:val="000000"/>
                <w:kern w:val="0"/>
                <w:sz w:val="18"/>
                <w:szCs w:val="18"/>
                <w:lang w:val="zh-CN"/>
              </w:rPr>
              <w:t>房地产：</w:t>
            </w:r>
            <w:r>
              <w:rPr>
                <w:rFonts w:hint="eastAsia" w:ascii="宋体" w:hAnsi="宋体" w:cs="宋体"/>
                <w:color w:val="000000"/>
                <w:kern w:val="0"/>
                <w:sz w:val="18"/>
                <w:szCs w:val="18"/>
              </w:rPr>
              <w:t>化解房地产库存，推动房地产业兼并重组，合理发展工业、旅游和养生养老地产，加大住房公积金支持住房消费力度，完善房地产信息系统，促进房地产市场健康平稳发展。</w:t>
            </w:r>
          </w:p>
        </w:tc>
      </w:tr>
    </w:tbl>
    <w:p>
      <w:pPr>
        <w:pStyle w:val="4"/>
        <w:spacing w:beforeLines="50" w:afterLines="50" w:line="460" w:lineRule="exact"/>
        <w:rPr>
          <w:rFonts w:ascii="宋体" w:hAnsi="宋体" w:cs="仿宋_GB2312"/>
          <w:color w:val="000000"/>
          <w:sz w:val="26"/>
          <w:szCs w:val="26"/>
        </w:rPr>
      </w:pPr>
      <w:bookmarkStart w:id="225" w:name="_Toc428544893"/>
      <w:bookmarkStart w:id="226" w:name="_Toc437010596"/>
      <w:bookmarkStart w:id="227" w:name="_Toc422340974"/>
      <w:bookmarkStart w:id="228" w:name="_Toc437010616"/>
      <w:r>
        <w:rPr>
          <w:rFonts w:hint="eastAsia" w:ascii="宋体" w:hAnsi="宋体" w:cs="仿宋_GB2312"/>
          <w:color w:val="000000"/>
          <w:sz w:val="26"/>
          <w:szCs w:val="26"/>
        </w:rPr>
        <w:t xml:space="preserve">第三节  </w:t>
      </w:r>
      <w:bookmarkEnd w:id="225"/>
      <w:bookmarkEnd w:id="226"/>
      <w:bookmarkEnd w:id="227"/>
      <w:r>
        <w:rPr>
          <w:rFonts w:hint="eastAsia" w:ascii="宋体" w:hAnsi="宋体" w:cs="仿宋_GB2312"/>
          <w:color w:val="000000"/>
          <w:sz w:val="26"/>
          <w:szCs w:val="26"/>
        </w:rPr>
        <w:t>构建区域性国际物流中心</w:t>
      </w:r>
    </w:p>
    <w:p>
      <w:pPr>
        <w:spacing w:afterLines="50" w:line="460" w:lineRule="exact"/>
        <w:ind w:firstLine="536" w:firstLineChars="200"/>
        <w:rPr>
          <w:rFonts w:ascii="宋体" w:hAnsi="宋体" w:eastAsia="仿宋_GB2312"/>
          <w:color w:val="000000"/>
          <w:spacing w:val="4"/>
          <w:sz w:val="26"/>
          <w:szCs w:val="26"/>
        </w:rPr>
      </w:pPr>
      <w:r>
        <w:rPr>
          <w:rFonts w:hint="eastAsia" w:ascii="宋体" w:hAnsi="宋体" w:eastAsia="仿宋_GB2312"/>
          <w:color w:val="000000"/>
          <w:spacing w:val="4"/>
          <w:sz w:val="26"/>
          <w:szCs w:val="26"/>
        </w:rPr>
        <w:t>依托互联互通综合交通运输体系，构建</w:t>
      </w:r>
      <w:r>
        <w:rPr>
          <w:rFonts w:hint="eastAsia" w:ascii="宋体" w:hAnsi="宋体" w:eastAsia="仿宋_GB2312"/>
          <w:color w:val="000000"/>
          <w:sz w:val="26"/>
          <w:szCs w:val="26"/>
        </w:rPr>
        <w:t>链接海上丝绸之路、丝绸之路经济带、粤港澳、西南中南和华东地区的出海出边出省物流通道，</w:t>
      </w:r>
      <w:r>
        <w:rPr>
          <w:rFonts w:hint="eastAsia" w:ascii="宋体" w:hAnsi="宋体" w:eastAsia="仿宋_GB2312"/>
          <w:color w:val="000000"/>
          <w:spacing w:val="4"/>
          <w:sz w:val="26"/>
          <w:szCs w:val="26"/>
        </w:rPr>
        <w:t>完善物流节点城市、物流枢纽、物流园区等布局，打造面向东盟、辐射西南中南、服务“一带一路”的区域性国际物流中心。建设北部湾区域性国际物流枢纽，把南宁建成国际性物流城市，其他中心城市建成区域性物流节点城市。统筹规划县市区物流布局，重点发展重要物流节点县城和中心镇。合理规划物流园区，重点建设生产服务型、商贸服务型、货运枢纽型、口岸服务型、综合服务型等物流园区。大力发展制造业供应链物流、电子商务物流、城乡配送、金融物流、智慧物流等，积极发展第三方物流等方式，推进物联网、云计算、大数据等信息技术与物流业融合发展，提高物流集约化、专业化、智能化水平。</w:t>
      </w:r>
      <w:r>
        <w:rPr>
          <w:rFonts w:hint="eastAsia" w:ascii="宋体" w:hAnsi="宋体" w:eastAsia="仿宋_GB2312"/>
          <w:color w:val="000000"/>
          <w:sz w:val="26"/>
          <w:szCs w:val="26"/>
        </w:rPr>
        <w:t>引进国内外知名物流运营商，</w:t>
      </w:r>
      <w:r>
        <w:rPr>
          <w:rFonts w:hint="eastAsia" w:ascii="宋体" w:hAnsi="宋体" w:eastAsia="仿宋_GB2312"/>
          <w:color w:val="000000"/>
          <w:spacing w:val="4"/>
          <w:sz w:val="26"/>
          <w:szCs w:val="26"/>
        </w:rPr>
        <w:t>建设海外仓等境外物流节点，构建国际物流信息网络和服务平台，增强国际物流中心辐射力。</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60" w:lineRule="exact"/>
              <w:jc w:val="center"/>
              <w:rPr>
                <w:rFonts w:ascii="宋体" w:hAnsi="宋体" w:eastAsia="黑体" w:cs="仿宋_GB2312"/>
                <w:color w:val="000000"/>
                <w:kern w:val="0"/>
                <w:szCs w:val="24"/>
              </w:rPr>
            </w:pPr>
            <w:r>
              <w:rPr>
                <w:rFonts w:hint="eastAsia" w:ascii="宋体" w:hAnsi="宋体" w:eastAsia="黑体" w:cs="仿宋_GB2312"/>
                <w:color w:val="000000"/>
                <w:szCs w:val="24"/>
              </w:rPr>
              <w:t>专栏</w:t>
            </w:r>
            <w:r>
              <w:rPr>
                <w:rFonts w:hint="eastAsia" w:ascii="黑体" w:hAnsi="宋体" w:eastAsia="黑体" w:cs="仿宋_GB2312"/>
                <w:color w:val="000000"/>
                <w:szCs w:val="24"/>
              </w:rPr>
              <w:t>17</w:t>
            </w:r>
            <w:r>
              <w:rPr>
                <w:rFonts w:hint="eastAsia" w:ascii="宋体" w:hAnsi="宋体" w:eastAsia="黑体" w:cs="仿宋_GB2312"/>
                <w:color w:val="000000"/>
                <w:szCs w:val="24"/>
              </w:rPr>
              <w:t xml:space="preserve">  现代物流重点工程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6" w:hRule="atLeast"/>
          <w:jc w:val="center"/>
        </w:trPr>
        <w:tc>
          <w:tcPr>
            <w:tcW w:w="6237" w:type="dxa"/>
            <w:vAlign w:val="center"/>
          </w:tcPr>
          <w:p>
            <w:pPr>
              <w:spacing w:line="28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物流节点城市：</w:t>
            </w:r>
            <w:r>
              <w:rPr>
                <w:rFonts w:hint="eastAsia" w:ascii="宋体" w:hAnsi="宋体" w:cs="仿宋_GB2312"/>
                <w:color w:val="000000"/>
                <w:kern w:val="0"/>
                <w:sz w:val="18"/>
                <w:szCs w:val="18"/>
              </w:rPr>
              <w:t>柳州、桂林、梧州、北海、钦州、防城港、玉林建成区域性物流节点城市。</w:t>
            </w:r>
          </w:p>
          <w:p>
            <w:pPr>
              <w:spacing w:line="28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物流工程：</w:t>
            </w:r>
            <w:r>
              <w:rPr>
                <w:rFonts w:hint="eastAsia" w:ascii="宋体" w:hAnsi="宋体" w:cs="仿宋_GB2312"/>
                <w:color w:val="000000"/>
                <w:kern w:val="0"/>
                <w:sz w:val="18"/>
                <w:szCs w:val="18"/>
              </w:rPr>
              <w:t>建设多式联运、制造业供应链、城乡配送、电子商务、农产品冷链、物流标准化、物流信息平台和应急物流等工程。</w:t>
            </w:r>
          </w:p>
          <w:p>
            <w:pPr>
              <w:spacing w:line="280" w:lineRule="exact"/>
              <w:rPr>
                <w:rFonts w:ascii="宋体" w:hAnsi="宋体"/>
                <w:color w:val="000000"/>
                <w:sz w:val="18"/>
                <w:szCs w:val="18"/>
              </w:rPr>
            </w:pPr>
            <w:r>
              <w:rPr>
                <w:rFonts w:hint="eastAsia" w:ascii="黑体" w:hAnsi="黑体" w:eastAsia="黑体" w:cs="仿宋_GB2312"/>
                <w:color w:val="000000"/>
                <w:kern w:val="0"/>
                <w:sz w:val="18"/>
                <w:szCs w:val="18"/>
              </w:rPr>
              <w:t>物流园区：</w:t>
            </w:r>
            <w:r>
              <w:rPr>
                <w:rFonts w:hint="eastAsia" w:ascii="宋体" w:hAnsi="宋体"/>
                <w:color w:val="000000"/>
                <w:sz w:val="18"/>
                <w:szCs w:val="18"/>
              </w:rPr>
              <w:t>建设中国-东盟大宗商品交易中心、广西（中国-东盟）粮食物流产业园、北部湾（钦州）国际航运服务中心、广西快递电商物流园、南宁空港物流产业园、柳州铁路物流园和鹧鸪江物流聚集区、桂林西站物流园、梧州商贸物流园、铁山港-龙潭综合物流园、防城港综合物流园、玉林现代物流聚集区、贵港苏湾现代物流园、百色生态铝产业综合物流园、贺州现代物流园、来宾港现代</w:t>
            </w:r>
            <w:r>
              <w:rPr>
                <w:rFonts w:ascii="宋体" w:hAnsi="宋体"/>
                <w:color w:val="000000"/>
                <w:sz w:val="18"/>
                <w:szCs w:val="18"/>
              </w:rPr>
              <w:t>物流</w:t>
            </w:r>
            <w:r>
              <w:rPr>
                <w:rFonts w:hint="eastAsia" w:ascii="宋体" w:hAnsi="宋体"/>
                <w:color w:val="000000"/>
                <w:sz w:val="18"/>
                <w:szCs w:val="18"/>
              </w:rPr>
              <w:t>园、宜州国际茧丝绸交易中心、扶绥空港物流园等。</w:t>
            </w:r>
          </w:p>
          <w:p>
            <w:pPr>
              <w:spacing w:line="280" w:lineRule="exact"/>
              <w:rPr>
                <w:rFonts w:ascii="宋体" w:hAnsi="宋体" w:cs="仿宋_GB2312"/>
                <w:color w:val="000000"/>
                <w:kern w:val="0"/>
                <w:sz w:val="18"/>
                <w:szCs w:val="18"/>
              </w:rPr>
            </w:pPr>
            <w:r>
              <w:rPr>
                <w:rFonts w:hint="eastAsia" w:ascii="黑体" w:hAnsi="黑体" w:eastAsia="黑体" w:cs="仿宋_GB2312"/>
                <w:color w:val="000000"/>
                <w:kern w:val="0"/>
                <w:sz w:val="18"/>
                <w:szCs w:val="18"/>
              </w:rPr>
              <w:t>边境物流通道：</w:t>
            </w:r>
            <w:r>
              <w:rPr>
                <w:rFonts w:hint="eastAsia" w:ascii="宋体" w:hAnsi="宋体" w:cs="仿宋_GB2312"/>
                <w:color w:val="000000"/>
                <w:kern w:val="0"/>
                <w:sz w:val="18"/>
                <w:szCs w:val="18"/>
              </w:rPr>
              <w:t>建设凭祥-同登、东兴-海防、龙邦-茶岭国际货运通道，浦寨-新清、爱店-禄平、水口-驮隆货物通道。</w:t>
            </w:r>
          </w:p>
        </w:tc>
      </w:tr>
    </w:tbl>
    <w:p>
      <w:pPr>
        <w:pStyle w:val="3"/>
        <w:spacing w:beforeLines="50" w:afterLines="50" w:line="460" w:lineRule="exact"/>
        <w:rPr>
          <w:rFonts w:ascii="宋体" w:hAnsi="宋体" w:eastAsia="仿宋_GB2312" w:cs="Times New Roman"/>
          <w:b/>
          <w:color w:val="000000"/>
          <w:sz w:val="26"/>
          <w:szCs w:val="26"/>
        </w:rPr>
      </w:pPr>
      <w:bookmarkStart w:id="229" w:name="_Toc438458611"/>
      <w:bookmarkStart w:id="230" w:name="_Toc438297553"/>
      <w:r>
        <w:rPr>
          <w:rFonts w:hint="eastAsia" w:ascii="宋体" w:hAnsi="宋体" w:eastAsia="仿宋_GB2312" w:cs="Times New Roman"/>
          <w:b/>
          <w:color w:val="000000"/>
          <w:sz w:val="26"/>
          <w:szCs w:val="26"/>
        </w:rPr>
        <w:t>第四节  打造旅游强区</w:t>
      </w:r>
    </w:p>
    <w:bookmarkEnd w:id="228"/>
    <w:bookmarkEnd w:id="229"/>
    <w:bookmarkEnd w:id="230"/>
    <w:p>
      <w:pPr>
        <w:spacing w:line="460" w:lineRule="exact"/>
        <w:ind w:firstLine="520" w:firstLineChars="200"/>
        <w:rPr>
          <w:rFonts w:ascii="宋体" w:hAnsi="宋体" w:eastAsia="仿宋_GB2312"/>
          <w:color w:val="000000"/>
          <w:sz w:val="32"/>
          <w:szCs w:val="32"/>
        </w:rPr>
      </w:pPr>
      <w:r>
        <w:rPr>
          <w:rFonts w:hint="eastAsia" w:ascii="宋体" w:hAnsi="宋体" w:eastAsia="仿宋_GB2312"/>
          <w:color w:val="000000"/>
          <w:sz w:val="26"/>
          <w:szCs w:val="26"/>
        </w:rPr>
        <w:t>大力发展特色旅游业，建设桂林国际旅游胜地、北部湾国际旅游度假区、巴马长寿养生国际旅游区三大国际旅游目的地，打造南北、西江、边关风情三条旅游发展带，建设南宁、桂林、北海、梧州四个旅游集散地，培育高铁旅游带、环北部湾旅游圈、海上丝绸之路旅游带、桂湘黔粤旅游圈。大力发展山水观光、休闲度假、长寿养生、红色旅游、边境旅游、民族风情、乡村旅游、历史文化、运动体验、会展商务等旅游产品，鼓励发展低空、邮轮游艇、自驾车、中医药健康等旅游新业态，积极创建国家级旅游度假区、生态旅游示范区、旅游扶贫试验区、研学旅游目的地和特色旅游名县名镇名村，推动旅游产品和产业转型升级。强化旅游基础设施和公共服务体系建设，培育精品景区和线路，引导文明旅游，提升品牌品质，积极开拓旅游市场，培育一批跨地区、跨行业、跨所有制的旅游龙头企业。支持发展各种形式的旅游联合体和旅游联盟，建设桂粤琼北部湾旅游联盟，推动设立跨境旅游合作区。推进省际旅游交通便利化，建设“泛珠”区域无障碍旅游区，促进大西南旅游一体化。</w:t>
      </w:r>
      <w:bookmarkStart w:id="231" w:name="_Toc438458612"/>
      <w:bookmarkStart w:id="232" w:name="_Toc438297554"/>
      <w:bookmarkStart w:id="233" w:name="_Toc437010617"/>
      <w:bookmarkStart w:id="234" w:name="_Toc428544927"/>
      <w:bookmarkStart w:id="235" w:name="_Toc422341010"/>
    </w:p>
    <w:p>
      <w:pPr>
        <w:spacing w:line="580" w:lineRule="exact"/>
        <w:rPr>
          <w:rFonts w:ascii="宋体" w:hAnsi="宋体" w:eastAsia="仿宋_GB2312"/>
          <w:color w:val="000000"/>
          <w:sz w:val="32"/>
          <w:szCs w:val="32"/>
        </w:rPr>
      </w:pPr>
      <w:r>
        <w:rPr>
          <w:color w:val="000000"/>
        </w:rPr>
        <w:drawing>
          <wp:anchor distT="0" distB="0" distL="114300" distR="114300" simplePos="0" relativeHeight="251655168" behindDoc="1" locked="0" layoutInCell="1" allowOverlap="1">
            <wp:simplePos x="0" y="0"/>
            <wp:positionH relativeFrom="column">
              <wp:posOffset>22860</wp:posOffset>
            </wp:positionH>
            <wp:positionV relativeFrom="paragraph">
              <wp:posOffset>4445</wp:posOffset>
            </wp:positionV>
            <wp:extent cx="3886200" cy="2613660"/>
            <wp:effectExtent l="19050" t="0" r="0" b="0"/>
            <wp:wrapNone/>
            <wp:docPr id="101" name="图片 101" descr="旅游业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旅游业示意图"/>
                    <pic:cNvPicPr>
                      <a:picLocks noChangeAspect="1" noChangeArrowheads="1"/>
                    </pic:cNvPicPr>
                  </pic:nvPicPr>
                  <pic:blipFill>
                    <a:blip r:embed="rId14" cstate="print"/>
                    <a:srcRect/>
                    <a:stretch>
                      <a:fillRect/>
                    </a:stretch>
                  </pic:blipFill>
                  <pic:spPr>
                    <a:xfrm>
                      <a:off x="0" y="0"/>
                      <a:ext cx="3886200" cy="2613660"/>
                    </a:xfrm>
                    <a:prstGeom prst="rect">
                      <a:avLst/>
                    </a:prstGeom>
                    <a:noFill/>
                    <a:ln w="9525">
                      <a:noFill/>
                      <a:miter lim="800000"/>
                      <a:headEnd/>
                      <a:tailEnd/>
                    </a:ln>
                  </pic:spPr>
                </pic:pic>
              </a:graphicData>
            </a:graphic>
          </wp:anchor>
        </w:drawing>
      </w:r>
    </w:p>
    <w:p>
      <w:pPr>
        <w:spacing w:line="580" w:lineRule="exact"/>
        <w:rPr>
          <w:rFonts w:ascii="宋体" w:hAnsi="宋体" w:eastAsia="仿宋_GB2312"/>
          <w:color w:val="000000"/>
          <w:sz w:val="32"/>
          <w:szCs w:val="32"/>
        </w:rPr>
      </w:pPr>
    </w:p>
    <w:p>
      <w:pPr>
        <w:spacing w:line="580" w:lineRule="exact"/>
        <w:rPr>
          <w:rFonts w:ascii="宋体" w:hAnsi="宋体" w:eastAsia="仿宋_GB2312"/>
          <w:color w:val="000000"/>
          <w:sz w:val="32"/>
          <w:szCs w:val="32"/>
        </w:rPr>
      </w:pPr>
    </w:p>
    <w:p>
      <w:pPr>
        <w:spacing w:line="580" w:lineRule="exact"/>
        <w:rPr>
          <w:rFonts w:ascii="宋体" w:hAnsi="宋体" w:eastAsia="仿宋_GB2312"/>
          <w:color w:val="000000"/>
          <w:sz w:val="32"/>
          <w:szCs w:val="32"/>
        </w:rPr>
      </w:pPr>
    </w:p>
    <w:p>
      <w:pPr>
        <w:spacing w:line="580" w:lineRule="exact"/>
        <w:rPr>
          <w:rFonts w:ascii="宋体" w:hAnsi="宋体" w:eastAsia="仿宋_GB2312"/>
          <w:color w:val="000000"/>
          <w:sz w:val="32"/>
          <w:szCs w:val="32"/>
        </w:rPr>
      </w:pPr>
    </w:p>
    <w:p>
      <w:pPr>
        <w:spacing w:line="580" w:lineRule="exact"/>
        <w:rPr>
          <w:rFonts w:ascii="宋体" w:hAnsi="宋体" w:eastAsia="仿宋_GB2312"/>
          <w:color w:val="000000"/>
          <w:sz w:val="32"/>
          <w:szCs w:val="32"/>
        </w:rPr>
      </w:pPr>
    </w:p>
    <w:p>
      <w:pPr>
        <w:spacing w:line="580" w:lineRule="exact"/>
        <w:rPr>
          <w:rFonts w:ascii="宋体" w:hAnsi="宋体" w:eastAsia="仿宋_GB2312"/>
          <w:color w:val="000000"/>
          <w:sz w:val="32"/>
          <w:szCs w:val="32"/>
        </w:rPr>
      </w:pPr>
    </w:p>
    <w:p>
      <w:pPr>
        <w:spacing w:beforeLines="50" w:line="200" w:lineRule="exact"/>
        <w:jc w:val="center"/>
        <w:rPr>
          <w:rFonts w:ascii="黑体" w:hAnsi="黑体" w:eastAsia="黑体" w:cs="楷体_GB2312"/>
          <w:color w:val="000000"/>
          <w:sz w:val="20"/>
          <w:szCs w:val="24"/>
        </w:rPr>
      </w:pPr>
      <w:r>
        <w:rPr>
          <w:rFonts w:hint="eastAsia" w:ascii="黑体" w:hAnsi="黑体" w:eastAsia="黑体" w:cs="楷体_GB2312"/>
          <w:color w:val="000000"/>
          <w:sz w:val="20"/>
          <w:szCs w:val="24"/>
        </w:rPr>
        <w:t>图4：旅游业发展示意图</w:t>
      </w:r>
    </w:p>
    <w:p>
      <w:pPr>
        <w:pStyle w:val="3"/>
        <w:spacing w:beforeLines="50" w:afterLines="50"/>
        <w:rPr>
          <w:rFonts w:ascii="宋体" w:hAnsi="宋体" w:eastAsia="仿宋_GB2312" w:cs="Times New Roman"/>
          <w:b/>
          <w:color w:val="000000"/>
          <w:sz w:val="26"/>
          <w:szCs w:val="26"/>
        </w:rPr>
      </w:pPr>
      <w:r>
        <w:rPr>
          <w:rFonts w:hint="eastAsia" w:ascii="宋体" w:hAnsi="宋体" w:eastAsia="仿宋_GB2312" w:cs="Times New Roman"/>
          <w:b/>
          <w:color w:val="000000"/>
          <w:sz w:val="26"/>
          <w:szCs w:val="26"/>
        </w:rPr>
        <w:t>第五节  建设现代服务业集聚区</w:t>
      </w:r>
      <w:bookmarkEnd w:id="231"/>
      <w:bookmarkEnd w:id="232"/>
      <w:bookmarkEnd w:id="233"/>
    </w:p>
    <w:p>
      <w:pPr>
        <w:ind w:firstLine="520" w:firstLineChars="200"/>
        <w:rPr>
          <w:rFonts w:ascii="宋体" w:hAnsi="宋体" w:eastAsia="仿宋_GB2312"/>
          <w:color w:val="000000"/>
          <w:sz w:val="26"/>
          <w:szCs w:val="26"/>
        </w:rPr>
      </w:pPr>
      <w:bookmarkStart w:id="236" w:name="_Toc422341011"/>
      <w:r>
        <w:rPr>
          <w:rFonts w:hint="eastAsia" w:ascii="宋体" w:hAnsi="宋体" w:eastAsia="仿宋_GB2312"/>
          <w:color w:val="000000"/>
          <w:sz w:val="26"/>
          <w:szCs w:val="26"/>
        </w:rPr>
        <w:t>依托交通枢纽、重点产业园区、历史文化街区、智力密集区、边境合作区，以要素集聚、产业融合、国际合作为导向，规划建设现代服务业集聚区，推动企业集聚和产业集群发展。重点建设现代物流、专业市场、科技服务、金融商务、健康养生、文化创意、软件与信息、旅游休闲、教育培训、电子商务等现代服务业集聚区，建成100个自治区级集聚区。强化集聚区主导产业，推动关联企业、投资商、供应商、服务商、研发机构和产业协会规模聚集。创新建设运营模式，引进和培育专业运营商，统筹集聚区建设、运营和管理。</w:t>
      </w:r>
    </w:p>
    <w:bookmarkEnd w:id="236"/>
    <w:p>
      <w:pPr>
        <w:pStyle w:val="3"/>
        <w:spacing w:beforeLines="50" w:afterLines="50" w:line="444" w:lineRule="exact"/>
        <w:rPr>
          <w:rFonts w:ascii="宋体" w:hAnsi="宋体" w:eastAsia="仿宋_GB2312" w:cs="Times New Roman"/>
          <w:b/>
          <w:color w:val="000000"/>
          <w:sz w:val="26"/>
          <w:szCs w:val="26"/>
        </w:rPr>
      </w:pPr>
      <w:bookmarkStart w:id="237" w:name="_Toc437010618"/>
      <w:bookmarkStart w:id="238" w:name="_Toc438297555"/>
      <w:bookmarkStart w:id="239" w:name="_Toc438458613"/>
      <w:r>
        <w:rPr>
          <w:rFonts w:hint="eastAsia" w:ascii="宋体" w:hAnsi="宋体" w:eastAsia="仿宋_GB2312" w:cs="Times New Roman"/>
          <w:b/>
          <w:color w:val="000000"/>
          <w:sz w:val="26"/>
          <w:szCs w:val="26"/>
        </w:rPr>
        <w:t>第六节  营造服务业发展良好环境</w:t>
      </w:r>
      <w:bookmarkEnd w:id="234"/>
      <w:bookmarkEnd w:id="235"/>
      <w:bookmarkEnd w:id="237"/>
      <w:bookmarkEnd w:id="238"/>
      <w:bookmarkEnd w:id="239"/>
    </w:p>
    <w:p>
      <w:pPr>
        <w:spacing w:line="444"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 xml:space="preserve">加快服务业改革创新，完善支持服务业发展的财税、价格、投融资、土地、社保、人才等政策。发挥服务业专项资金引导作用，综合运用贷款贴息、投资补助、以奖代补、担保补贴、基金注资等方式，加大对服务业关键领域和薄弱环节的支持力度。设立服务业引导股权投资基金，鼓励金融机构创新金融产品，拓宽服务业融资渠道。落实服务业各项税费减免和优惠政策，全面实行营业税改增值税。建立健全政府购买服务机制，推广特许经营等政府与社会合作（PPP）模式，引导社会资本发展服务业。推进服务业用电与工商业用电合并，逐步降低用电价格。优先保障重大服务业项目建设用地，工业企业退出的土地优先用于服务业，扩大服务业用地供给。加快服务业标准化建设。推动南宁、桂林等中心城市形成以服务经济为主的产业结构。 </w:t>
      </w:r>
    </w:p>
    <w:p>
      <w:pPr>
        <w:pStyle w:val="3"/>
        <w:spacing w:beforeLines="50" w:afterLines="50" w:line="444" w:lineRule="exact"/>
        <w:rPr>
          <w:rFonts w:ascii="宋体" w:hAnsi="宋体" w:cs="黑体"/>
          <w:b/>
          <w:color w:val="000000"/>
          <w:sz w:val="26"/>
          <w:szCs w:val="26"/>
        </w:rPr>
      </w:pPr>
      <w:bookmarkStart w:id="240" w:name="_Toc438458614"/>
      <w:bookmarkStart w:id="241" w:name="_Toc437010619"/>
      <w:r>
        <w:rPr>
          <w:rFonts w:hint="eastAsia" w:ascii="宋体" w:hAnsi="宋体" w:cs="黑体"/>
          <w:b/>
          <w:color w:val="000000"/>
          <w:sz w:val="26"/>
          <w:szCs w:val="26"/>
        </w:rPr>
        <w:t>第二十六章  加快推进农业现代化</w:t>
      </w:r>
      <w:bookmarkEnd w:id="240"/>
      <w:bookmarkEnd w:id="241"/>
    </w:p>
    <w:p>
      <w:pPr>
        <w:spacing w:line="444"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加快转变农业发展方式，提升农业质量效益和竞争力，走产出高效、产品安全、资源节约、环境友好的农业现代化道路。</w:t>
      </w:r>
    </w:p>
    <w:p>
      <w:pPr>
        <w:pStyle w:val="4"/>
        <w:spacing w:beforeLines="50" w:afterLines="50" w:line="456" w:lineRule="exact"/>
        <w:rPr>
          <w:rFonts w:ascii="宋体" w:hAnsi="宋体" w:cs="仿宋_GB2312"/>
          <w:color w:val="000000"/>
          <w:sz w:val="26"/>
          <w:szCs w:val="26"/>
        </w:rPr>
      </w:pPr>
      <w:bookmarkStart w:id="242" w:name="_Toc437010620"/>
      <w:bookmarkStart w:id="243" w:name="_Toc428544932"/>
      <w:bookmarkStart w:id="244" w:name="_Toc422341016"/>
      <w:r>
        <w:rPr>
          <w:rFonts w:hint="eastAsia" w:ascii="宋体" w:hAnsi="宋体" w:cs="仿宋_GB2312"/>
          <w:color w:val="000000"/>
          <w:sz w:val="26"/>
          <w:szCs w:val="26"/>
        </w:rPr>
        <w:t>第一节</w:t>
      </w:r>
      <w:r>
        <w:rPr>
          <w:rFonts w:ascii="宋体" w:hAnsi="宋体" w:cs="仿宋_GB2312"/>
          <w:color w:val="000000"/>
          <w:sz w:val="26"/>
          <w:szCs w:val="26"/>
        </w:rPr>
        <w:t xml:space="preserve"> </w:t>
      </w:r>
      <w:r>
        <w:rPr>
          <w:rFonts w:hint="eastAsia" w:ascii="宋体" w:hAnsi="宋体" w:cs="仿宋_GB2312"/>
          <w:color w:val="000000"/>
          <w:sz w:val="26"/>
          <w:szCs w:val="26"/>
        </w:rPr>
        <w:t xml:space="preserve"> 稳定粮食生产</w:t>
      </w:r>
      <w:bookmarkEnd w:id="242"/>
      <w:bookmarkEnd w:id="243"/>
      <w:bookmarkEnd w:id="244"/>
    </w:p>
    <w:p>
      <w:pPr>
        <w:spacing w:line="456"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 xml:space="preserve">实施耕地保护与质量提升、良种创新提升、高产高效栽培、病虫害防控、农业机械化推广、粮食产业化提升等粮食产能提升工程，推进马铃薯主粮化，粮食综合生产能力稳定在1500万吨左右。坚持最严格的耕地保护制度，落实藏粮于地、藏粮于技战略，全面划定永久基本农田，优先将水土资源条件好、集中连片的农田建成粮食生产功能区，大规模推进土地整治、中低产田改造和高标准农田建设。推广建设占用耕地耕作层剥离再利用。稳定粮食播种面积，优化品种结构，推进粮食绿色高产高效，建设有机稻种植基地。加强粮食加工、仓储、物流和应急设施等粮安工程建设。 </w:t>
      </w:r>
    </w:p>
    <w:p>
      <w:pPr>
        <w:pStyle w:val="4"/>
        <w:spacing w:beforeLines="50" w:afterLines="50" w:line="456" w:lineRule="exact"/>
        <w:rPr>
          <w:rFonts w:ascii="宋体" w:hAnsi="宋体" w:cs="仿宋_GB2312"/>
          <w:color w:val="000000"/>
          <w:sz w:val="26"/>
          <w:szCs w:val="26"/>
        </w:rPr>
      </w:pPr>
      <w:bookmarkStart w:id="245" w:name="_Toc422341017"/>
      <w:bookmarkStart w:id="246" w:name="_Toc437010621"/>
      <w:bookmarkStart w:id="247" w:name="_Toc428544933"/>
      <w:r>
        <w:rPr>
          <w:rFonts w:hint="eastAsia" w:ascii="宋体" w:hAnsi="宋体"/>
          <w:color w:val="000000"/>
          <w:sz w:val="26"/>
          <w:szCs w:val="26"/>
        </w:rPr>
        <w:t>第二节  大力发展特色优势农业</w:t>
      </w:r>
      <w:bookmarkEnd w:id="245"/>
      <w:bookmarkEnd w:id="246"/>
      <w:bookmarkEnd w:id="247"/>
    </w:p>
    <w:p>
      <w:pPr>
        <w:ind w:firstLine="520" w:firstLineChars="200"/>
        <w:rPr>
          <w:rFonts w:ascii="宋体" w:hAnsi="宋体" w:eastAsia="仿宋_GB2312"/>
          <w:color w:val="000000"/>
          <w:sz w:val="32"/>
          <w:szCs w:val="32"/>
        </w:rPr>
      </w:pPr>
      <w:r>
        <w:rPr>
          <w:rFonts w:hint="eastAsia" w:ascii="宋体" w:hAnsi="宋体" w:eastAsia="仿宋_GB2312"/>
          <w:color w:val="000000"/>
          <w:sz w:val="26"/>
          <w:szCs w:val="26"/>
        </w:rPr>
        <w:t>开展特色农业产业提升行动，构建特色鲜明的现代农业产业体系。加快优质高产高糖标准化糖料蔗基地建设，促进糖料蔗生产向优势产区集聚，提高糖料蔗单产和含糖率。推进特色果业提升行动，建设标准化果园，扩大名特优新水果种植面积和产量。加强“南菜北运”、供港蔬菜、秋冬种蔬菜等基地建设，推进无公害蔬菜标准化生产。稳定桑园面积，建设优质原料茧基地，发展高产优质高效蚕业。提升发展茶叶、核桃、食用菌、中药材、烟草、花卉等特色种植业。积极培育优质用材林和特色优势经济林，发展林下经济，建设国家储备林基地。转变水产畜牧业养殖方式，推进畜禽、奶水牛和优势特色水产品标准化规模化养殖基地建设。大力发展富硒农业、循环农业和绿色有机农业，培育发展休闲农业、生态农业、创意农业、都市农业等新型业态，提升品种品质品牌，打造地理标志商标。推进农村一二三产业融合发展，开展融合发展试点，壮大农产品加工业和农村服务业，开发农业多种功能。以农产品主产区为重点，建立重要农产品生产保护区。</w:t>
      </w:r>
    </w:p>
    <w:p>
      <w:pPr>
        <w:spacing w:afterLines="50" w:line="540" w:lineRule="exact"/>
        <w:jc w:val="center"/>
        <w:rPr>
          <w:rFonts w:ascii="黑体" w:hAnsi="黑体" w:eastAsia="黑体" w:cs="楷体_GB2312"/>
          <w:color w:val="000000"/>
          <w:sz w:val="24"/>
          <w:szCs w:val="24"/>
        </w:rPr>
      </w:pPr>
      <w:r>
        <w:rPr>
          <w:color w:val="000000"/>
        </w:rPr>
        <w:drawing>
          <wp:anchor distT="0" distB="0" distL="114300" distR="114300" simplePos="0" relativeHeight="251654144" behindDoc="1" locked="0" layoutInCell="1" allowOverlap="1">
            <wp:simplePos x="0" y="0"/>
            <wp:positionH relativeFrom="column">
              <wp:posOffset>118110</wp:posOffset>
            </wp:positionH>
            <wp:positionV relativeFrom="paragraph">
              <wp:posOffset>60325</wp:posOffset>
            </wp:positionV>
            <wp:extent cx="3705225" cy="2699385"/>
            <wp:effectExtent l="19050" t="0" r="9525" b="0"/>
            <wp:wrapNone/>
            <wp:docPr id="99" name="图片 99" descr="201512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015123002"/>
                    <pic:cNvPicPr>
                      <a:picLocks noChangeAspect="1" noChangeArrowheads="1"/>
                    </pic:cNvPicPr>
                  </pic:nvPicPr>
                  <pic:blipFill>
                    <a:blip r:embed="rId15" cstate="print"/>
                    <a:srcRect/>
                    <a:stretch>
                      <a:fillRect/>
                    </a:stretch>
                  </pic:blipFill>
                  <pic:spPr>
                    <a:xfrm>
                      <a:off x="0" y="0"/>
                      <a:ext cx="3705225" cy="2699385"/>
                    </a:xfrm>
                    <a:prstGeom prst="rect">
                      <a:avLst/>
                    </a:prstGeom>
                    <a:noFill/>
                    <a:ln w="9525">
                      <a:noFill/>
                      <a:miter lim="800000"/>
                      <a:headEnd/>
                      <a:tailEnd/>
                    </a:ln>
                  </pic:spPr>
                </pic:pic>
              </a:graphicData>
            </a:graphic>
          </wp:anchor>
        </w:drawing>
      </w:r>
    </w:p>
    <w:p>
      <w:pPr>
        <w:spacing w:afterLines="50" w:line="540" w:lineRule="exact"/>
        <w:jc w:val="center"/>
        <w:rPr>
          <w:rFonts w:ascii="黑体" w:hAnsi="黑体" w:eastAsia="黑体" w:cs="楷体_GB2312"/>
          <w:color w:val="000000"/>
          <w:sz w:val="24"/>
          <w:szCs w:val="24"/>
        </w:rPr>
      </w:pPr>
    </w:p>
    <w:p>
      <w:pPr>
        <w:spacing w:afterLines="50" w:line="540" w:lineRule="exact"/>
        <w:jc w:val="center"/>
        <w:rPr>
          <w:rFonts w:ascii="黑体" w:hAnsi="黑体" w:eastAsia="黑体" w:cs="楷体_GB2312"/>
          <w:color w:val="000000"/>
          <w:sz w:val="24"/>
          <w:szCs w:val="24"/>
        </w:rPr>
      </w:pPr>
    </w:p>
    <w:p>
      <w:pPr>
        <w:spacing w:afterLines="50" w:line="540" w:lineRule="exact"/>
        <w:jc w:val="center"/>
        <w:rPr>
          <w:rFonts w:ascii="黑体" w:hAnsi="黑体" w:eastAsia="黑体" w:cs="楷体_GB2312"/>
          <w:color w:val="000000"/>
          <w:sz w:val="24"/>
          <w:szCs w:val="24"/>
        </w:rPr>
      </w:pPr>
    </w:p>
    <w:p>
      <w:pPr>
        <w:spacing w:afterLines="50" w:line="540" w:lineRule="exact"/>
        <w:jc w:val="center"/>
        <w:rPr>
          <w:rFonts w:ascii="黑体" w:hAnsi="黑体" w:eastAsia="黑体" w:cs="楷体_GB2312"/>
          <w:color w:val="000000"/>
          <w:sz w:val="24"/>
          <w:szCs w:val="24"/>
        </w:rPr>
      </w:pPr>
    </w:p>
    <w:p>
      <w:pPr>
        <w:spacing w:afterLines="50" w:line="540" w:lineRule="exact"/>
        <w:jc w:val="center"/>
        <w:rPr>
          <w:rFonts w:ascii="黑体" w:hAnsi="黑体" w:eastAsia="黑体" w:cs="楷体_GB2312"/>
          <w:color w:val="000000"/>
          <w:sz w:val="24"/>
          <w:szCs w:val="24"/>
        </w:rPr>
      </w:pPr>
    </w:p>
    <w:p>
      <w:pPr>
        <w:spacing w:line="500" w:lineRule="exact"/>
        <w:jc w:val="center"/>
        <w:rPr>
          <w:rFonts w:ascii="黑体" w:hAnsi="黑体" w:eastAsia="黑体" w:cs="楷体_GB2312"/>
          <w:color w:val="000000"/>
          <w:sz w:val="20"/>
          <w:szCs w:val="24"/>
        </w:rPr>
      </w:pPr>
      <w:r>
        <w:rPr>
          <w:rFonts w:hint="eastAsia" w:ascii="黑体" w:hAnsi="黑体" w:eastAsia="黑体" w:cs="楷体_GB2312"/>
          <w:color w:val="000000"/>
          <w:sz w:val="20"/>
          <w:szCs w:val="24"/>
        </w:rPr>
        <w:t>图5：现代农业发展示意图</w:t>
      </w:r>
      <w:bookmarkStart w:id="248" w:name="_Toc422341018"/>
      <w:bookmarkStart w:id="249" w:name="_Toc428544934"/>
      <w:bookmarkStart w:id="250" w:name="_Toc437010622"/>
    </w:p>
    <w:p>
      <w:pPr>
        <w:pStyle w:val="4"/>
        <w:spacing w:beforeLines="100" w:afterLines="50" w:line="460" w:lineRule="exact"/>
        <w:rPr>
          <w:rFonts w:ascii="宋体" w:hAnsi="宋体"/>
          <w:color w:val="000000"/>
          <w:spacing w:val="-6"/>
          <w:sz w:val="26"/>
          <w:szCs w:val="26"/>
        </w:rPr>
      </w:pPr>
      <w:r>
        <w:rPr>
          <w:rFonts w:hint="eastAsia" w:ascii="宋体" w:hAnsi="宋体"/>
          <w:color w:val="000000"/>
          <w:spacing w:val="-6"/>
          <w:sz w:val="26"/>
          <w:szCs w:val="26"/>
        </w:rPr>
        <w:t>第三节  加快建设现代特色农业（核心）示范区</w:t>
      </w:r>
      <w:bookmarkEnd w:id="248"/>
      <w:bookmarkEnd w:id="249"/>
      <w:bookmarkEnd w:id="250"/>
    </w:p>
    <w:p>
      <w:pPr>
        <w:spacing w:afterLines="50"/>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按照高起点规划、高标准建设、高水平管理的要求，建设要素集中、产业集聚、技术集成、经营集约的现代特色农业示范区，力争每个县创建一个以上示范区，以示范区引领现代农业发展。培育引进农业产业化龙头企业和专业化服务机构，发展新型农业经营合作组织。推进示范区基础设施和配套设施建设，提高装备设施水平。推广生产档案、产品检测、基地准出、农产品质量可追溯、动植物疫病防治等标准化生产，建立健全现代农业标准体系。拓展科普、教育、休闲、观光等功能，延伸产业链，促进各类要素向示范区集聚。</w:t>
      </w:r>
    </w:p>
    <w:tbl>
      <w:tblPr>
        <w:tblStyle w:val="21"/>
        <w:tblW w:w="62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仿宋_GB2312" w:eastAsia="仿宋_GB2312"/>
                <w:color w:val="000000"/>
                <w:szCs w:val="24"/>
              </w:rPr>
            </w:pPr>
            <w:r>
              <w:rPr>
                <w:rFonts w:hint="eastAsia" w:ascii="黑体" w:hAnsi="黑体" w:eastAsia="黑体" w:cs="仿宋_GB2312"/>
                <w:color w:val="000000"/>
                <w:szCs w:val="24"/>
              </w:rPr>
              <w:t>专栏18  现代农业建设工程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80" w:hRule="atLeast"/>
          <w:jc w:val="center"/>
        </w:trPr>
        <w:tc>
          <w:tcPr>
            <w:tcW w:w="6237" w:type="dxa"/>
            <w:vAlign w:val="center"/>
          </w:tcPr>
          <w:p>
            <w:pPr>
              <w:spacing w:line="280" w:lineRule="exact"/>
              <w:rPr>
                <w:rFonts w:ascii="宋体" w:hAnsi="宋体"/>
                <w:color w:val="000000"/>
                <w:sz w:val="18"/>
                <w:szCs w:val="18"/>
              </w:rPr>
            </w:pPr>
            <w:r>
              <w:rPr>
                <w:rFonts w:hint="eastAsia" w:ascii="黑体" w:hAnsi="黑体" w:eastAsia="黑体"/>
                <w:color w:val="000000"/>
                <w:sz w:val="18"/>
                <w:szCs w:val="18"/>
              </w:rPr>
              <w:t>高标准农田：</w:t>
            </w:r>
            <w:r>
              <w:rPr>
                <w:rFonts w:hint="eastAsia" w:ascii="宋体" w:hAnsi="宋体"/>
                <w:color w:val="000000"/>
                <w:sz w:val="18"/>
                <w:szCs w:val="18"/>
              </w:rPr>
              <w:t>加大田水路林村综合整治，建成高标准农田2725万亩，建设水稻、玉米和马铃薯“三大主粮”高产稳产基地。</w:t>
            </w:r>
          </w:p>
          <w:p>
            <w:pPr>
              <w:spacing w:line="280" w:lineRule="exact"/>
              <w:rPr>
                <w:rFonts w:ascii="宋体" w:hAnsi="宋体"/>
                <w:color w:val="000000"/>
                <w:sz w:val="18"/>
                <w:szCs w:val="18"/>
              </w:rPr>
            </w:pPr>
            <w:r>
              <w:rPr>
                <w:rFonts w:hint="eastAsia" w:ascii="黑体" w:hAnsi="黑体" w:eastAsia="黑体"/>
                <w:color w:val="000000"/>
                <w:sz w:val="18"/>
                <w:szCs w:val="18"/>
              </w:rPr>
              <w:t>“双高”糖料蔗基地：</w:t>
            </w:r>
            <w:r>
              <w:rPr>
                <w:rFonts w:hint="eastAsia" w:ascii="宋体" w:hAnsi="宋体"/>
                <w:color w:val="000000"/>
                <w:sz w:val="18"/>
                <w:szCs w:val="18"/>
              </w:rPr>
              <w:t xml:space="preserve">实施土地整治、蔗区道路、良种良法、机械化和水利化等工程，建成500万亩“双高”糖料蔗基地。 </w:t>
            </w:r>
          </w:p>
          <w:p>
            <w:pPr>
              <w:spacing w:line="280" w:lineRule="exact"/>
              <w:rPr>
                <w:rFonts w:ascii="宋体" w:hAnsi="宋体"/>
                <w:color w:val="000000"/>
                <w:sz w:val="18"/>
                <w:szCs w:val="18"/>
              </w:rPr>
            </w:pPr>
            <w:r>
              <w:rPr>
                <w:rFonts w:hint="eastAsia" w:ascii="黑体" w:hAnsi="黑体" w:eastAsia="黑体"/>
                <w:color w:val="000000"/>
                <w:sz w:val="18"/>
                <w:szCs w:val="18"/>
              </w:rPr>
              <w:t>优势特色水果基地：</w:t>
            </w:r>
            <w:r>
              <w:rPr>
                <w:rFonts w:hint="eastAsia" w:ascii="宋体" w:hAnsi="宋体"/>
                <w:color w:val="000000"/>
                <w:sz w:val="18"/>
                <w:szCs w:val="18"/>
              </w:rPr>
              <w:t>建设优势特色水果生产、加工、物流等基地，水果产量达到2000万吨。</w:t>
            </w:r>
          </w:p>
          <w:p>
            <w:pPr>
              <w:spacing w:line="280" w:lineRule="exact"/>
              <w:rPr>
                <w:rFonts w:ascii="宋体" w:hAnsi="宋体"/>
                <w:color w:val="000000"/>
                <w:sz w:val="18"/>
                <w:szCs w:val="18"/>
              </w:rPr>
            </w:pPr>
            <w:r>
              <w:rPr>
                <w:rFonts w:hint="eastAsia" w:ascii="黑体" w:hAnsi="黑体" w:eastAsia="黑体"/>
                <w:color w:val="000000"/>
                <w:sz w:val="18"/>
                <w:szCs w:val="18"/>
              </w:rPr>
              <w:t>桑蚕茧基地：</w:t>
            </w:r>
            <w:r>
              <w:rPr>
                <w:rFonts w:hint="eastAsia" w:ascii="宋体" w:hAnsi="宋体"/>
                <w:color w:val="000000"/>
                <w:sz w:val="18"/>
                <w:szCs w:val="18"/>
              </w:rPr>
              <w:t>建设河池、来宾、南宁、钦州、柳州等桑蚕茧生产基地，蚕茧产量达到36万吨。</w:t>
            </w:r>
          </w:p>
          <w:p>
            <w:pPr>
              <w:spacing w:line="280" w:lineRule="exact"/>
              <w:rPr>
                <w:rFonts w:ascii="宋体" w:hAnsi="宋体"/>
                <w:color w:val="000000"/>
                <w:sz w:val="18"/>
                <w:szCs w:val="18"/>
              </w:rPr>
            </w:pPr>
            <w:r>
              <w:rPr>
                <w:rFonts w:hint="eastAsia" w:ascii="黑体" w:hAnsi="黑体" w:eastAsia="黑体"/>
                <w:color w:val="000000"/>
                <w:sz w:val="18"/>
                <w:szCs w:val="18"/>
              </w:rPr>
              <w:t>“南菜北运”蔬菜基地：</w:t>
            </w:r>
            <w:r>
              <w:rPr>
                <w:rFonts w:hint="eastAsia" w:ascii="宋体" w:hAnsi="宋体"/>
                <w:color w:val="000000"/>
                <w:sz w:val="18"/>
                <w:szCs w:val="18"/>
              </w:rPr>
              <w:t>建设右江河谷、桂东南及湘桂走廊、桂南沿海秋冬蔬菜核心区100万亩。建设贺州供港澳蔬菜基地。</w:t>
            </w:r>
          </w:p>
          <w:p>
            <w:pPr>
              <w:spacing w:line="280" w:lineRule="exact"/>
              <w:rPr>
                <w:rFonts w:ascii="宋体" w:hAnsi="宋体"/>
                <w:color w:val="000000"/>
                <w:sz w:val="18"/>
                <w:szCs w:val="18"/>
              </w:rPr>
            </w:pPr>
            <w:r>
              <w:rPr>
                <w:rFonts w:hint="eastAsia" w:ascii="黑体" w:hAnsi="黑体" w:eastAsia="黑体"/>
                <w:color w:val="000000"/>
                <w:sz w:val="18"/>
                <w:szCs w:val="18"/>
              </w:rPr>
              <w:t>特色林业基地：</w:t>
            </w:r>
            <w:r>
              <w:rPr>
                <w:rFonts w:hint="eastAsia" w:ascii="宋体" w:hAnsi="宋体"/>
                <w:color w:val="000000"/>
                <w:sz w:val="18"/>
                <w:szCs w:val="18"/>
              </w:rPr>
              <w:t xml:space="preserve">建成国家储备林基地2800万亩、亚热带珍贵树种基地500万亩、特色经济林基地2400万亩。林下经济产值超过千亿元。  </w:t>
            </w:r>
          </w:p>
          <w:p>
            <w:pPr>
              <w:spacing w:line="280" w:lineRule="exact"/>
              <w:rPr>
                <w:rFonts w:ascii="黑体" w:hAnsi="黑体" w:eastAsia="黑体"/>
                <w:color w:val="000000"/>
                <w:sz w:val="18"/>
                <w:szCs w:val="18"/>
              </w:rPr>
            </w:pPr>
            <w:r>
              <w:rPr>
                <w:rFonts w:hint="eastAsia" w:ascii="黑体" w:hAnsi="黑体" w:eastAsia="黑体"/>
                <w:color w:val="000000"/>
                <w:sz w:val="18"/>
                <w:szCs w:val="18"/>
              </w:rPr>
              <w:t>生态养殖基地：</w:t>
            </w:r>
            <w:r>
              <w:rPr>
                <w:rFonts w:hint="eastAsia" w:ascii="宋体" w:hAnsi="宋体"/>
                <w:color w:val="000000"/>
                <w:sz w:val="18"/>
                <w:szCs w:val="18"/>
              </w:rPr>
              <w:t xml:space="preserve">建设现代牧草业提升和西江流域生猪规模化健康养殖工程等。 </w:t>
            </w:r>
          </w:p>
          <w:p>
            <w:pPr>
              <w:spacing w:line="280" w:lineRule="exact"/>
              <w:rPr>
                <w:rFonts w:ascii="宋体" w:hAnsi="宋体"/>
                <w:color w:val="000000"/>
                <w:szCs w:val="21"/>
              </w:rPr>
            </w:pPr>
            <w:r>
              <w:rPr>
                <w:rFonts w:hint="eastAsia" w:ascii="黑体" w:hAnsi="黑体" w:eastAsia="黑体"/>
                <w:color w:val="000000"/>
                <w:sz w:val="18"/>
                <w:szCs w:val="18"/>
              </w:rPr>
              <w:t>现代特色农业（核心）示范区：</w:t>
            </w:r>
            <w:r>
              <w:rPr>
                <w:rFonts w:hint="eastAsia" w:ascii="宋体" w:hAnsi="宋体"/>
                <w:color w:val="000000"/>
                <w:sz w:val="18"/>
                <w:szCs w:val="18"/>
              </w:rPr>
              <w:t>创建100个自治区级核心示范区。</w:t>
            </w:r>
          </w:p>
        </w:tc>
      </w:tr>
    </w:tbl>
    <w:p>
      <w:pPr>
        <w:pStyle w:val="4"/>
        <w:spacing w:beforeLines="50" w:afterLines="50" w:line="456" w:lineRule="exact"/>
        <w:rPr>
          <w:rFonts w:ascii="宋体" w:hAnsi="宋体"/>
          <w:color w:val="000000"/>
          <w:sz w:val="26"/>
          <w:szCs w:val="26"/>
        </w:rPr>
      </w:pPr>
      <w:bookmarkStart w:id="251" w:name="_Toc428544939"/>
      <w:bookmarkStart w:id="252" w:name="_Toc437010623"/>
      <w:r>
        <w:rPr>
          <w:rFonts w:hint="eastAsia" w:ascii="宋体" w:hAnsi="宋体"/>
          <w:color w:val="000000"/>
          <w:sz w:val="26"/>
          <w:szCs w:val="26"/>
        </w:rPr>
        <w:t>第四节  构建新型农业经营</w:t>
      </w:r>
      <w:bookmarkEnd w:id="251"/>
      <w:bookmarkStart w:id="253" w:name="_Toc422341031"/>
      <w:r>
        <w:rPr>
          <w:rFonts w:hint="eastAsia" w:ascii="宋体" w:hAnsi="宋体"/>
          <w:color w:val="000000"/>
          <w:sz w:val="26"/>
          <w:szCs w:val="26"/>
        </w:rPr>
        <w:t>体系</w:t>
      </w:r>
      <w:bookmarkEnd w:id="252"/>
    </w:p>
    <w:bookmarkEnd w:id="253"/>
    <w:p>
      <w:pPr>
        <w:spacing w:line="456" w:lineRule="exact"/>
        <w:ind w:firstLine="504" w:firstLineChars="200"/>
        <w:rPr>
          <w:rFonts w:ascii="宋体" w:hAnsi="宋体" w:eastAsia="仿宋_GB2312"/>
          <w:color w:val="000000"/>
          <w:sz w:val="26"/>
          <w:szCs w:val="26"/>
        </w:rPr>
      </w:pPr>
      <w:r>
        <w:rPr>
          <w:rFonts w:hint="eastAsia" w:ascii="宋体" w:hAnsi="宋体" w:eastAsia="仿宋_GB2312"/>
          <w:color w:val="000000"/>
          <w:spacing w:val="-4"/>
          <w:sz w:val="26"/>
          <w:szCs w:val="26"/>
        </w:rPr>
        <w:t>创新农业组织方式，建立健全以农户家庭经营为基础、合作与联合为纽带、社会化服务为支撑的现代农业经营体系，发展多种形式的适度规模经营。引导土地经营权规范有序流转，探索土地托管等方式，支持发展种养大户、家庭农场等新型经营主体，培育新型职业农民。支持农民合作社扩大经营范围，增强服务能力，开展示范合作社创建行动。推广合作式、订单式等服务方式，推进农业生产全程社会化服务创新。</w:t>
      </w:r>
      <w:r>
        <w:rPr>
          <w:rFonts w:hint="eastAsia" w:ascii="宋体" w:hAnsi="宋体" w:eastAsia="仿宋_GB2312" w:cs="FZFSK--GBK1-0"/>
          <w:color w:val="000000"/>
          <w:spacing w:val="-4"/>
          <w:kern w:val="0"/>
          <w:sz w:val="26"/>
          <w:szCs w:val="26"/>
        </w:rPr>
        <w:t>发挥供销合作社农村流通主渠道作用，加强农产品流通设施和市场建设，完善农村物流配送和综合服务网络，</w:t>
      </w:r>
      <w:r>
        <w:rPr>
          <w:rFonts w:hint="eastAsia" w:ascii="宋体" w:hAnsi="宋体" w:eastAsia="仿宋_GB2312"/>
          <w:color w:val="000000"/>
          <w:spacing w:val="-4"/>
          <w:sz w:val="26"/>
          <w:szCs w:val="26"/>
        </w:rPr>
        <w:t>大力发展农村电子商务。建立健全工商资本租赁农地的准入和监管办法，支持工商企业投资经营现代种养业、农产品加工流通业和农业社会化服务。力争家庭农场突破1万家，农民合作社5万家，自治区级以上农业产业化龙头企业260家</w:t>
      </w:r>
      <w:r>
        <w:rPr>
          <w:rFonts w:hint="eastAsia" w:ascii="宋体" w:hAnsi="宋体" w:eastAsia="仿宋_GB2312"/>
          <w:color w:val="000000"/>
          <w:sz w:val="26"/>
          <w:szCs w:val="26"/>
        </w:rPr>
        <w:t>。</w:t>
      </w:r>
    </w:p>
    <w:p>
      <w:pPr>
        <w:pStyle w:val="4"/>
        <w:spacing w:beforeLines="50" w:afterLines="50" w:line="456" w:lineRule="exact"/>
        <w:rPr>
          <w:rFonts w:ascii="宋体" w:hAnsi="宋体"/>
          <w:color w:val="000000"/>
          <w:sz w:val="26"/>
          <w:szCs w:val="26"/>
        </w:rPr>
      </w:pPr>
      <w:bookmarkStart w:id="254" w:name="_Toc428544940"/>
      <w:bookmarkStart w:id="255" w:name="_Toc422341019"/>
      <w:bookmarkStart w:id="256" w:name="_Toc437010624"/>
      <w:r>
        <w:rPr>
          <w:rFonts w:hint="eastAsia" w:ascii="宋体" w:hAnsi="宋体"/>
          <w:color w:val="000000"/>
          <w:sz w:val="26"/>
          <w:szCs w:val="26"/>
        </w:rPr>
        <w:t>第五节  提高农业技术装备水平</w:t>
      </w:r>
    </w:p>
    <w:bookmarkEnd w:id="254"/>
    <w:bookmarkEnd w:id="255"/>
    <w:bookmarkEnd w:id="256"/>
    <w:p>
      <w:pPr>
        <w:spacing w:line="456" w:lineRule="exact"/>
        <w:ind w:firstLine="520" w:firstLineChars="200"/>
        <w:rPr>
          <w:rFonts w:ascii="宋体" w:hAnsi="宋体" w:eastAsia="仿宋_GB2312" w:cs="FZFSK--GBK1-0"/>
          <w:color w:val="000000"/>
          <w:kern w:val="0"/>
          <w:sz w:val="26"/>
          <w:szCs w:val="26"/>
        </w:rPr>
      </w:pPr>
      <w:r>
        <w:rPr>
          <w:rFonts w:hint="eastAsia" w:ascii="宋体" w:hAnsi="宋体" w:eastAsia="仿宋_GB2312"/>
          <w:color w:val="000000"/>
          <w:sz w:val="26"/>
          <w:szCs w:val="26"/>
        </w:rPr>
        <w:t>加强现代种业、高效栽培、疫病防控、农业节水等科技创新，建设农业科研和技术成果转化中心、</w:t>
      </w:r>
      <w:r>
        <w:rPr>
          <w:rFonts w:hint="eastAsia" w:ascii="宋体" w:hAnsi="宋体" w:eastAsia="仿宋_GB2312" w:cs="FZFSK--GBK1-0"/>
          <w:color w:val="000000"/>
          <w:kern w:val="0"/>
          <w:sz w:val="26"/>
          <w:szCs w:val="26"/>
        </w:rPr>
        <w:t>农业科技示范基地和科技示范户，促进农业与信息技术融合，发展智慧农业，</w:t>
      </w:r>
      <w:r>
        <w:rPr>
          <w:rFonts w:hint="eastAsia" w:ascii="宋体" w:hAnsi="宋体" w:eastAsia="仿宋_GB2312"/>
          <w:color w:val="000000"/>
          <w:sz w:val="26"/>
          <w:szCs w:val="26"/>
        </w:rPr>
        <w:t>建立现代农业科技创新体系。大力发展装备农业、设施农业，主要农作物耕种收综合机械化水平达到65%以上。</w:t>
      </w:r>
      <w:r>
        <w:rPr>
          <w:rFonts w:hint="eastAsia" w:ascii="宋体" w:hAnsi="宋体" w:eastAsia="仿宋_GB2312" w:cs="FZFSK--GBK1-0"/>
          <w:color w:val="000000"/>
          <w:kern w:val="0"/>
          <w:sz w:val="26"/>
          <w:szCs w:val="26"/>
        </w:rPr>
        <w:t>全面推行农业标准化生产，加强农产品质量安全和化肥、农药等农业投入品的监管，健全从农田到餐桌的农产品质量安全过程监管体系。强化主产地安全管理，开展农产品质量安全县创建活动。</w:t>
      </w:r>
    </w:p>
    <w:p>
      <w:pPr>
        <w:pStyle w:val="4"/>
        <w:spacing w:beforeLines="50" w:afterLines="50" w:line="460" w:lineRule="exact"/>
        <w:rPr>
          <w:rFonts w:ascii="宋体" w:hAnsi="宋体"/>
          <w:color w:val="000000"/>
          <w:sz w:val="26"/>
          <w:szCs w:val="26"/>
        </w:rPr>
      </w:pPr>
      <w:bookmarkStart w:id="257" w:name="_Toc437010625"/>
      <w:bookmarkStart w:id="258" w:name="_Toc428544941"/>
      <w:r>
        <w:rPr>
          <w:rFonts w:hint="eastAsia" w:ascii="宋体" w:hAnsi="宋体"/>
          <w:color w:val="000000"/>
          <w:sz w:val="26"/>
          <w:szCs w:val="26"/>
        </w:rPr>
        <w:t>第六节  完善农业支持保护政策</w:t>
      </w:r>
      <w:bookmarkEnd w:id="257"/>
      <w:bookmarkEnd w:id="258"/>
    </w:p>
    <w:p>
      <w:pPr>
        <w:spacing w:line="460" w:lineRule="exact"/>
        <w:ind w:firstLine="520" w:firstLineChars="200"/>
        <w:rPr>
          <w:rFonts w:ascii="宋体" w:hAnsi="宋体" w:eastAsia="仿宋_GB2312" w:cs="FZFSK--GBK1-0"/>
          <w:color w:val="000000"/>
          <w:kern w:val="0"/>
          <w:sz w:val="26"/>
          <w:szCs w:val="26"/>
        </w:rPr>
      </w:pPr>
      <w:r>
        <w:rPr>
          <w:rFonts w:hint="eastAsia" w:ascii="宋体" w:hAnsi="宋体" w:eastAsia="仿宋_GB2312" w:cs="FZFSK--GBK1-0"/>
          <w:color w:val="000000"/>
          <w:kern w:val="0"/>
          <w:sz w:val="26"/>
          <w:szCs w:val="26"/>
        </w:rPr>
        <w:t>持续增加农业投入，全面落实农业支持保护补贴和农机具购置、能繁母猪、造林、森林抚育及生态效益补偿、农林业保险等各项补贴政策，实施惠农一卡通，提高农业支持政策的针对性、有效性和精准度。</w:t>
      </w:r>
      <w:r>
        <w:rPr>
          <w:rFonts w:hint="eastAsia" w:ascii="宋体" w:hAnsi="宋体" w:eastAsia="仿宋_GB2312"/>
          <w:color w:val="000000"/>
          <w:sz w:val="26"/>
          <w:szCs w:val="26"/>
        </w:rPr>
        <w:t>建立完善以市场为导向的农产品价格形成机制，保持农产品价格合理水平。继续执行稻谷最低收购价格，完善糖蔗价格挂钩联动、二次结算价格政策，争取实行糖料蔗等农产品目标价格管理，推进糖料蔗价格指数保险。完善大宗农产品临时收储政策，合理确定粮油、食糖、肉类储备规模，健全制糖企业代储制度。加大金融支农服务力度，</w:t>
      </w:r>
      <w:r>
        <w:rPr>
          <w:rFonts w:hint="eastAsia" w:ascii="宋体" w:hAnsi="宋体" w:eastAsia="仿宋_GB2312" w:cs="FZFSK--GBK1-0"/>
          <w:color w:val="000000"/>
          <w:kern w:val="0"/>
          <w:sz w:val="26"/>
          <w:szCs w:val="26"/>
        </w:rPr>
        <w:t>积极发展政策性农业保险，增加农业保险费补贴品种和覆盖面。</w:t>
      </w:r>
      <w:r>
        <w:rPr>
          <w:rFonts w:hint="eastAsia" w:ascii="宋体" w:hAnsi="宋体" w:eastAsia="仿宋_GB2312"/>
          <w:color w:val="000000"/>
          <w:sz w:val="26"/>
          <w:szCs w:val="26"/>
        </w:rPr>
        <w:t>扩大面向东盟的农业开放合作，</w:t>
      </w:r>
      <w:r>
        <w:rPr>
          <w:rFonts w:hint="eastAsia" w:ascii="宋体" w:hAnsi="宋体" w:eastAsia="仿宋_GB2312" w:cs="FZFSK--GBK1-0"/>
          <w:color w:val="000000"/>
          <w:kern w:val="0"/>
          <w:sz w:val="26"/>
          <w:szCs w:val="26"/>
        </w:rPr>
        <w:t>建设优质农产品出口基地，培育农产品出口龙头企业和名牌产品，支持优势企业扩大境外投资，发展粮油、橡胶、水果、用材林、畜牧水产等生产，建设规模化海外生产加工储运基地，培育农业跨国公司。</w:t>
      </w:r>
    </w:p>
    <w:bookmarkEnd w:id="213"/>
    <w:bookmarkEnd w:id="214"/>
    <w:p>
      <w:pPr>
        <w:pStyle w:val="2"/>
        <w:spacing w:beforeLines="80" w:afterLines="80" w:line="460" w:lineRule="exact"/>
        <w:rPr>
          <w:rFonts w:ascii="宋体" w:hAnsi="宋体" w:cs="黑体"/>
          <w:color w:val="000000"/>
          <w:sz w:val="26"/>
          <w:szCs w:val="26"/>
        </w:rPr>
      </w:pPr>
      <w:bookmarkStart w:id="259" w:name="_Toc422341085"/>
      <w:bookmarkStart w:id="260" w:name="_Toc428544982"/>
      <w:bookmarkStart w:id="261" w:name="_Toc437010663"/>
      <w:bookmarkStart w:id="262" w:name="_Toc438458615"/>
      <w:bookmarkStart w:id="263" w:name="_Toc428544943"/>
      <w:bookmarkStart w:id="264" w:name="_Toc422341047"/>
      <w:bookmarkStart w:id="265" w:name="_Toc437010631"/>
      <w:r>
        <w:rPr>
          <w:rFonts w:hint="eastAsia" w:ascii="宋体" w:hAnsi="宋体" w:cs="黑体"/>
          <w:color w:val="000000"/>
          <w:sz w:val="26"/>
          <w:szCs w:val="26"/>
        </w:rPr>
        <w:t xml:space="preserve">第七篇  脱贫攻坚  </w:t>
      </w:r>
      <w:bookmarkEnd w:id="259"/>
      <w:bookmarkEnd w:id="260"/>
      <w:bookmarkEnd w:id="261"/>
      <w:r>
        <w:rPr>
          <w:rFonts w:hint="eastAsia" w:ascii="宋体" w:hAnsi="宋体" w:cs="黑体"/>
          <w:color w:val="000000"/>
          <w:sz w:val="26"/>
          <w:szCs w:val="26"/>
        </w:rPr>
        <w:t>确保贫困人口如期脱贫</w:t>
      </w:r>
      <w:bookmarkEnd w:id="262"/>
    </w:p>
    <w:p>
      <w:pPr>
        <w:shd w:val="clear" w:color="auto" w:fill="FFFFFF"/>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全面推进脱贫攻坚战，深入实施“八个一批”和脱贫攻坚“十大行动”，确保贫困地区、贫困人口同步进入全面小康社会。</w:t>
      </w:r>
    </w:p>
    <w:p>
      <w:pPr>
        <w:pStyle w:val="3"/>
        <w:spacing w:beforeLines="50" w:afterLines="50" w:line="460" w:lineRule="exact"/>
        <w:rPr>
          <w:rFonts w:ascii="宋体" w:hAnsi="宋体" w:cs="黑体"/>
          <w:b/>
          <w:color w:val="000000"/>
          <w:sz w:val="26"/>
          <w:szCs w:val="26"/>
        </w:rPr>
      </w:pPr>
      <w:bookmarkStart w:id="266" w:name="_Toc422341087"/>
      <w:bookmarkStart w:id="267" w:name="_Toc437010664"/>
      <w:bookmarkStart w:id="268" w:name="_Toc438458616"/>
      <w:bookmarkStart w:id="269" w:name="_Toc428544984"/>
      <w:r>
        <w:rPr>
          <w:rFonts w:hint="eastAsia" w:ascii="宋体" w:hAnsi="宋体" w:cs="黑体"/>
          <w:b/>
          <w:color w:val="000000"/>
          <w:sz w:val="26"/>
          <w:szCs w:val="26"/>
        </w:rPr>
        <w:t>第二十七章  全力推进精准扶贫精准脱贫</w:t>
      </w:r>
      <w:bookmarkEnd w:id="266"/>
      <w:bookmarkEnd w:id="267"/>
      <w:bookmarkEnd w:id="268"/>
      <w:bookmarkEnd w:id="269"/>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实行分类扶持，因人因地施策，提高扶贫实效。对有发展条件和劳动能力的贫困人口，通过加大产业扶贫、增加经营收入实现脱贫。对有劳动能力但受制于当地发展条件的贫困人口，通过加大就业帮扶、就地转移就业或外出务工实现脱贫。对居住在生存条件恶劣、生态环境脆弱、自然灾害频发等地区的贫困人口，通过实施移民搬迁安置实现脱贫。对生存条件差但生态地位重要、需要保护修复的贫困地区，通过生态补偿实现脱贫。对因病致贫、因病返贫的贫困人口，通过医疗救助实现脱贫。对无法依靠产业扶持和就业帮助脱贫的贫困家庭，实行政策性保障兜底脱贫。加快实施教育扶贫工程，让贫困地区孩子享受到更加公平的优质教育，阻断贫困代际传递。支持边境地区贫困群众发展边境贸易，通过合法的贸易活动实现脱贫。确保现行标准下453万农村贫困人口全部脱贫，前三年每年脱贫120万，第四年脱贫93万，第五年巩固脱贫成果。</w:t>
      </w:r>
    </w:p>
    <w:p>
      <w:pPr>
        <w:pStyle w:val="3"/>
        <w:spacing w:beforeLines="50" w:afterLines="50" w:line="460" w:lineRule="exact"/>
        <w:rPr>
          <w:rFonts w:ascii="宋体" w:hAnsi="宋体" w:cs="黑体"/>
          <w:b/>
          <w:color w:val="000000"/>
          <w:sz w:val="26"/>
          <w:szCs w:val="26"/>
        </w:rPr>
      </w:pPr>
      <w:bookmarkStart w:id="270" w:name="_Toc438458617"/>
      <w:bookmarkStart w:id="271" w:name="_Toc428544983"/>
      <w:bookmarkStart w:id="272" w:name="_Toc437010665"/>
      <w:bookmarkStart w:id="273" w:name="_Toc422341086"/>
      <w:r>
        <w:rPr>
          <w:rFonts w:hint="eastAsia" w:ascii="宋体" w:hAnsi="宋体" w:cs="黑体"/>
          <w:b/>
          <w:color w:val="000000"/>
          <w:sz w:val="26"/>
          <w:szCs w:val="26"/>
        </w:rPr>
        <w:t>第二十八章  支持贫困地区加快发展</w:t>
      </w:r>
      <w:bookmarkEnd w:id="270"/>
    </w:p>
    <w:bookmarkEnd w:id="271"/>
    <w:bookmarkEnd w:id="272"/>
    <w:bookmarkEnd w:id="273"/>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精准帮扶与集中连片特困地区开发紧密结合，重点扶持革命老区、少数民族聚居区、边境地区、石漠化片区，以及54个贫困县和5000个贫困村，按照整体规划、集中投入、综合开发、合力推进的要求，大力实施道路畅通、饮水安全、电力保障、危房改造、产业发展、旅游扶贫、教育扶贫、文化扶贫、乡村信息化等扶贫工程，扩大基础设施覆盖面，因地制宜解决通路、通水、通电、通互联网等问题，增加公共服务供给，基本公共服务主要指标接近全区平均水平。合理开发利用资源，大力发展生态产业和生态经济，培育形成特色优势产业，增强自我发展能力，确保扶贫重点县农民人均可支配收入增幅高于全区平均水平。统筹做好库区移民、以工代赈和农林场等扶贫开发工作。</w:t>
      </w:r>
    </w:p>
    <w:p>
      <w:pPr>
        <w:pStyle w:val="3"/>
        <w:spacing w:beforeLines="80" w:afterLines="50" w:line="460" w:lineRule="exact"/>
        <w:rPr>
          <w:rFonts w:ascii="宋体" w:hAnsi="宋体" w:cs="黑体"/>
          <w:b/>
          <w:color w:val="000000"/>
          <w:sz w:val="26"/>
          <w:szCs w:val="26"/>
        </w:rPr>
      </w:pPr>
      <w:bookmarkStart w:id="274" w:name="_Toc438458618"/>
      <w:r>
        <w:rPr>
          <w:rFonts w:hint="eastAsia" w:ascii="宋体" w:hAnsi="宋体" w:cs="黑体"/>
          <w:b/>
          <w:color w:val="000000"/>
          <w:sz w:val="26"/>
          <w:szCs w:val="26"/>
        </w:rPr>
        <w:t>第二十九章  完善脱贫工作机制</w:t>
      </w:r>
      <w:bookmarkEnd w:id="274"/>
    </w:p>
    <w:p>
      <w:pPr>
        <w:ind w:firstLine="520" w:firstLineChars="200"/>
        <w:rPr>
          <w:rFonts w:ascii="宋体" w:hAnsi="宋体" w:eastAsia="仿宋_GB2312" w:cs="仿宋"/>
          <w:color w:val="000000"/>
          <w:sz w:val="32"/>
          <w:szCs w:val="32"/>
        </w:rPr>
      </w:pPr>
      <w:r>
        <w:rPr>
          <w:rFonts w:hint="eastAsia" w:ascii="宋体" w:hAnsi="宋体" w:eastAsia="仿宋_GB2312" w:cs="仿宋"/>
          <w:color w:val="000000"/>
          <w:sz w:val="26"/>
          <w:szCs w:val="26"/>
        </w:rPr>
        <w:t>完善精准识别机制，做好贫困户、贫困村精准识别、建档立卡和动态管理，建立扶贫大数据管理平台，做到精准识别到村到户到人。探索由当地搬迁安置向吸纳人口能力强的地区转移安置模式。探索将财政扶贫资金和其他涉农资金入股，实行贫困人口资产收益扶持机制。完善财政投入稳定增长机制，加大对贫困地区转移支付力度，整合涉农资金集中使用，设立扶贫产业投资基金。健全扶贫考核机制，对贫困县实行以脱贫实绩为主的考核，建立贫困县、贫困村退出机制和脱贫摘帽激励机制，深入落实定点帮扶单位、驻村工作队、贫困村第一书记的工作职责和激励机制。</w:t>
      </w:r>
    </w:p>
    <w:p>
      <w:pPr>
        <w:spacing w:line="100" w:lineRule="exact"/>
        <w:ind w:firstLine="576" w:firstLineChars="180"/>
        <w:rPr>
          <w:rFonts w:ascii="宋体" w:hAnsi="宋体" w:eastAsia="仿宋_GB2312" w:cs="仿宋"/>
          <w:color w:val="000000"/>
          <w:sz w:val="32"/>
          <w:szCs w:val="32"/>
        </w:rPr>
      </w:pP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ascii="宋体" w:hAnsi="宋体" w:eastAsia="仿宋_GB2312" w:cs="仿宋"/>
                <w:color w:val="000000"/>
                <w:szCs w:val="32"/>
              </w:rPr>
              <w:br w:type="page"/>
            </w:r>
            <w:r>
              <w:rPr>
                <w:rFonts w:hint="eastAsia" w:ascii="黑体" w:hAnsi="黑体" w:eastAsia="黑体" w:cs="仿宋_GB2312"/>
                <w:color w:val="000000"/>
                <w:szCs w:val="24"/>
              </w:rPr>
              <w:t>专栏19  脱贫攻坚行动计划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322" w:hRule="atLeast"/>
          <w:jc w:val="center"/>
        </w:trPr>
        <w:tc>
          <w:tcPr>
            <w:tcW w:w="6237" w:type="dxa"/>
            <w:vAlign w:val="center"/>
          </w:tcPr>
          <w:p>
            <w:pPr>
              <w:spacing w:line="300" w:lineRule="exact"/>
              <w:rPr>
                <w:rFonts w:ascii="宋体" w:hAnsi="宋体" w:cs="仿宋_GB2312"/>
                <w:color w:val="000000"/>
                <w:sz w:val="18"/>
                <w:szCs w:val="18"/>
              </w:rPr>
            </w:pPr>
            <w:r>
              <w:rPr>
                <w:rFonts w:hint="eastAsia" w:ascii="黑体" w:hAnsi="黑体" w:eastAsia="黑体"/>
                <w:color w:val="000000"/>
                <w:sz w:val="18"/>
                <w:szCs w:val="18"/>
              </w:rPr>
              <w:t>特色产业富民：</w:t>
            </w:r>
            <w:r>
              <w:rPr>
                <w:rFonts w:hint="eastAsia" w:ascii="宋体" w:hAnsi="宋体" w:cs="仿宋_GB2312"/>
                <w:color w:val="000000"/>
                <w:sz w:val="18"/>
                <w:szCs w:val="18"/>
              </w:rPr>
              <w:t>因地制宜推进贫困地区特色优势产业发展，宜农则农、宜工则工、宜商则商，形成“一乡一业”、“一村一品”。</w:t>
            </w:r>
          </w:p>
          <w:p>
            <w:pPr>
              <w:spacing w:line="300" w:lineRule="exact"/>
              <w:rPr>
                <w:rFonts w:ascii="宋体" w:hAnsi="宋体" w:cs="仿宋_GB2312"/>
                <w:color w:val="000000"/>
                <w:sz w:val="18"/>
                <w:szCs w:val="18"/>
              </w:rPr>
            </w:pPr>
            <w:r>
              <w:rPr>
                <w:rFonts w:hint="eastAsia" w:ascii="黑体" w:hAnsi="黑体" w:eastAsia="黑体"/>
                <w:color w:val="000000"/>
                <w:sz w:val="18"/>
                <w:szCs w:val="18"/>
              </w:rPr>
              <w:t>旅游扶贫：</w:t>
            </w:r>
            <w:r>
              <w:rPr>
                <w:rFonts w:hint="eastAsia" w:ascii="宋体" w:hAnsi="宋体" w:cs="仿宋_GB2312"/>
                <w:color w:val="000000"/>
                <w:sz w:val="18"/>
                <w:szCs w:val="18"/>
              </w:rPr>
              <w:t>实施乡村旅游富民工程，创建全国旅游扶贫试验区。</w:t>
            </w:r>
          </w:p>
          <w:p>
            <w:pPr>
              <w:spacing w:line="300" w:lineRule="exact"/>
              <w:rPr>
                <w:rFonts w:ascii="宋体" w:hAnsi="宋体" w:cs="仿宋_GB2312"/>
                <w:color w:val="000000"/>
                <w:sz w:val="18"/>
                <w:szCs w:val="18"/>
              </w:rPr>
            </w:pPr>
            <w:r>
              <w:rPr>
                <w:rFonts w:hint="eastAsia" w:ascii="黑体" w:hAnsi="黑体" w:eastAsia="黑体"/>
                <w:color w:val="000000"/>
                <w:sz w:val="18"/>
                <w:szCs w:val="18"/>
              </w:rPr>
              <w:t>扶贫移民搬迁：</w:t>
            </w:r>
            <w:r>
              <w:rPr>
                <w:rFonts w:hint="eastAsia" w:ascii="宋体" w:hAnsi="宋体" w:cs="仿宋_GB2312"/>
                <w:color w:val="000000"/>
                <w:sz w:val="18"/>
                <w:szCs w:val="18"/>
              </w:rPr>
              <w:t>实施扶贫移民搬迁计划，“十三五”期间扶贫移民搬迁100万人。</w:t>
            </w:r>
          </w:p>
          <w:p>
            <w:pPr>
              <w:spacing w:line="300" w:lineRule="exact"/>
              <w:rPr>
                <w:rFonts w:ascii="宋体" w:hAnsi="宋体" w:cs="仿宋_GB2312"/>
                <w:color w:val="000000"/>
                <w:sz w:val="18"/>
                <w:szCs w:val="18"/>
              </w:rPr>
            </w:pPr>
            <w:r>
              <w:rPr>
                <w:rFonts w:hint="eastAsia" w:ascii="黑体" w:hAnsi="黑体" w:eastAsia="黑体"/>
                <w:color w:val="000000"/>
                <w:sz w:val="18"/>
                <w:szCs w:val="18"/>
              </w:rPr>
              <w:t>农村电商扶贫：</w:t>
            </w:r>
            <w:r>
              <w:rPr>
                <w:rFonts w:hint="eastAsia" w:ascii="宋体" w:hAnsi="宋体" w:cs="仿宋_GB2312"/>
                <w:color w:val="000000"/>
                <w:sz w:val="18"/>
                <w:szCs w:val="18"/>
              </w:rPr>
              <w:t>加大“</w:t>
            </w:r>
            <w:r>
              <w:rPr>
                <w:rFonts w:hint="eastAsia" w:ascii="宋体" w:hAnsi="宋体"/>
                <w:color w:val="000000"/>
                <w:sz w:val="18"/>
                <w:szCs w:val="18"/>
              </w:rPr>
              <w:t>互联网</w:t>
            </w:r>
            <w:r>
              <w:rPr>
                <w:rFonts w:hint="eastAsia" w:ascii="宋体" w:hAnsi="宋体"/>
                <w:b/>
                <w:color w:val="000000"/>
                <w:sz w:val="24"/>
                <w:szCs w:val="18"/>
              </w:rPr>
              <w:t>+</w:t>
            </w:r>
            <w:r>
              <w:rPr>
                <w:rFonts w:hint="eastAsia" w:ascii="宋体" w:hAnsi="宋体" w:cs="仿宋_GB2312"/>
                <w:color w:val="000000"/>
                <w:sz w:val="18"/>
                <w:szCs w:val="18"/>
              </w:rPr>
              <w:t>扶贫”力度，完善贫困地区电信普遍服务等基础设施，支持电商企业开展农村电商业务。</w:t>
            </w:r>
          </w:p>
          <w:p>
            <w:pPr>
              <w:spacing w:line="300" w:lineRule="exact"/>
              <w:rPr>
                <w:rFonts w:ascii="宋体" w:hAnsi="宋体" w:cs="仿宋_GB2312"/>
                <w:color w:val="000000"/>
                <w:sz w:val="18"/>
                <w:szCs w:val="18"/>
              </w:rPr>
            </w:pPr>
            <w:r>
              <w:rPr>
                <w:rFonts w:hint="eastAsia" w:ascii="黑体" w:hAnsi="黑体" w:eastAsia="黑体"/>
                <w:color w:val="000000"/>
                <w:sz w:val="18"/>
                <w:szCs w:val="18"/>
              </w:rPr>
              <w:t>农民工培训创业：</w:t>
            </w:r>
            <w:r>
              <w:rPr>
                <w:rFonts w:hint="eastAsia" w:ascii="宋体" w:hAnsi="宋体" w:cs="仿宋_GB2312"/>
                <w:color w:val="000000"/>
                <w:sz w:val="18"/>
                <w:szCs w:val="18"/>
              </w:rPr>
              <w:t>实施农民工职业技能提升计划，2020年绝大部分贫困家庭至少有1人获得职业资格证书或技术培训证书。建设农民工创业园。</w:t>
            </w:r>
          </w:p>
          <w:p>
            <w:pPr>
              <w:spacing w:line="300" w:lineRule="exact"/>
              <w:rPr>
                <w:rFonts w:ascii="宋体" w:hAnsi="宋体" w:cs="仿宋_GB2312"/>
                <w:color w:val="000000"/>
                <w:sz w:val="18"/>
                <w:szCs w:val="18"/>
              </w:rPr>
            </w:pPr>
            <w:r>
              <w:rPr>
                <w:rFonts w:hint="eastAsia" w:ascii="黑体" w:hAnsi="黑体" w:eastAsia="黑体"/>
                <w:color w:val="000000"/>
                <w:sz w:val="18"/>
                <w:szCs w:val="18"/>
              </w:rPr>
              <w:t>贫困户产权收益：</w:t>
            </w:r>
            <w:r>
              <w:rPr>
                <w:rFonts w:hint="eastAsia" w:ascii="宋体" w:hAnsi="宋体" w:cs="仿宋_GB2312"/>
                <w:color w:val="000000"/>
                <w:sz w:val="18"/>
                <w:szCs w:val="18"/>
              </w:rPr>
              <w:t>加快贫困地区土地承包经营权确权登记颁证工作，探索农村产权交易，增加群众财产性收入。</w:t>
            </w:r>
          </w:p>
          <w:p>
            <w:pPr>
              <w:spacing w:line="300" w:lineRule="exact"/>
              <w:rPr>
                <w:rFonts w:ascii="宋体" w:hAnsi="宋体" w:eastAsia="仿宋_GB2312" w:cs="仿宋"/>
                <w:color w:val="000000"/>
                <w:szCs w:val="32"/>
              </w:rPr>
            </w:pPr>
            <w:r>
              <w:rPr>
                <w:rFonts w:hint="eastAsia" w:ascii="黑体" w:hAnsi="黑体" w:eastAsia="黑体"/>
                <w:color w:val="000000"/>
                <w:sz w:val="18"/>
                <w:szCs w:val="18"/>
              </w:rPr>
              <w:t>基础设施建设：</w:t>
            </w:r>
            <w:r>
              <w:rPr>
                <w:rFonts w:hint="eastAsia" w:ascii="宋体" w:hAnsi="宋体" w:cs="仿宋_GB2312"/>
                <w:color w:val="000000"/>
                <w:sz w:val="18"/>
                <w:szCs w:val="18"/>
              </w:rPr>
              <w:t>加强贫困村屯道路、饮水、电力、通信、危房改造、污垃处理等基础设施建设，改善生产生活条件。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549" w:hRule="atLeast"/>
          <w:jc w:val="center"/>
        </w:trPr>
        <w:tc>
          <w:tcPr>
            <w:tcW w:w="6237" w:type="dxa"/>
            <w:vAlign w:val="center"/>
          </w:tcPr>
          <w:p>
            <w:pPr>
              <w:spacing w:line="300" w:lineRule="exact"/>
              <w:rPr>
                <w:rFonts w:ascii="宋体" w:hAnsi="宋体" w:cs="仿宋_GB2312"/>
                <w:color w:val="000000"/>
                <w:sz w:val="18"/>
                <w:szCs w:val="18"/>
              </w:rPr>
            </w:pPr>
            <w:r>
              <w:rPr>
                <w:rFonts w:hint="eastAsia" w:ascii="黑体" w:hAnsi="黑体" w:eastAsia="黑体"/>
                <w:color w:val="000000"/>
                <w:sz w:val="18"/>
                <w:szCs w:val="18"/>
              </w:rPr>
              <w:t>科技文化扶贫：</w:t>
            </w:r>
            <w:r>
              <w:rPr>
                <w:rFonts w:hint="eastAsia" w:ascii="宋体" w:hAnsi="宋体" w:cs="仿宋_GB2312"/>
                <w:color w:val="000000"/>
                <w:sz w:val="18"/>
                <w:szCs w:val="18"/>
              </w:rPr>
              <w:t>加大贫困地区科技文化资源配置力度，提高科技文化对脱贫攻坚的贡献率。</w:t>
            </w:r>
          </w:p>
          <w:p>
            <w:pPr>
              <w:spacing w:line="300" w:lineRule="exact"/>
              <w:rPr>
                <w:rFonts w:ascii="宋体" w:hAnsi="宋体" w:cs="仿宋_GB2312"/>
                <w:color w:val="000000"/>
                <w:sz w:val="18"/>
                <w:szCs w:val="18"/>
              </w:rPr>
            </w:pPr>
            <w:r>
              <w:rPr>
                <w:rFonts w:hint="eastAsia" w:ascii="黑体" w:hAnsi="黑体" w:eastAsia="黑体"/>
                <w:color w:val="000000"/>
                <w:sz w:val="18"/>
                <w:szCs w:val="18"/>
              </w:rPr>
              <w:t>金融扶贫：</w:t>
            </w:r>
            <w:r>
              <w:rPr>
                <w:rFonts w:hint="eastAsia" w:ascii="宋体" w:hAnsi="宋体" w:cs="仿宋_GB2312"/>
                <w:color w:val="000000"/>
                <w:sz w:val="18"/>
                <w:szCs w:val="18"/>
              </w:rPr>
              <w:t>鼓励各类金融机构开展贫困地区金融业务、扩大信贷规模，创建农村金融扶贫改革示范区，2020年实现贫困村金融便民服务点全覆盖。</w:t>
            </w:r>
          </w:p>
          <w:p>
            <w:pPr>
              <w:spacing w:line="300" w:lineRule="exact"/>
              <w:rPr>
                <w:rFonts w:ascii="宋体" w:hAnsi="宋体"/>
                <w:color w:val="000000"/>
                <w:szCs w:val="21"/>
              </w:rPr>
            </w:pPr>
            <w:r>
              <w:rPr>
                <w:rFonts w:hint="eastAsia" w:ascii="黑体" w:hAnsi="黑体" w:eastAsia="黑体"/>
                <w:color w:val="000000"/>
                <w:sz w:val="18"/>
                <w:szCs w:val="18"/>
              </w:rPr>
              <w:t>社会扶贫：</w:t>
            </w:r>
            <w:r>
              <w:rPr>
                <w:rFonts w:hint="eastAsia" w:ascii="宋体" w:hAnsi="宋体" w:cs="仿宋_GB2312"/>
                <w:color w:val="000000"/>
                <w:sz w:val="18"/>
                <w:szCs w:val="18"/>
              </w:rPr>
              <w:t>建立完善社会各界支持、参与扶贫工作的激励机制，形成扶贫合力。</w:t>
            </w:r>
          </w:p>
        </w:tc>
      </w:tr>
    </w:tbl>
    <w:p>
      <w:pPr>
        <w:pStyle w:val="2"/>
        <w:spacing w:beforeLines="80" w:afterLines="80" w:line="460" w:lineRule="exact"/>
        <w:rPr>
          <w:rFonts w:ascii="宋体" w:hAnsi="宋体" w:cs="黑体"/>
          <w:color w:val="000000"/>
          <w:sz w:val="26"/>
          <w:szCs w:val="26"/>
        </w:rPr>
      </w:pPr>
      <w:bookmarkStart w:id="275" w:name="_Toc438458619"/>
      <w:r>
        <w:rPr>
          <w:rFonts w:hint="eastAsia" w:ascii="宋体" w:hAnsi="宋体" w:cs="黑体"/>
          <w:color w:val="000000"/>
          <w:sz w:val="26"/>
          <w:szCs w:val="26"/>
        </w:rPr>
        <w:t xml:space="preserve">第八篇 </w:t>
      </w:r>
      <w:r>
        <w:rPr>
          <w:rFonts w:ascii="宋体" w:hAnsi="宋体" w:cs="黑体"/>
          <w:color w:val="000000"/>
          <w:sz w:val="26"/>
          <w:szCs w:val="26"/>
        </w:rPr>
        <w:t xml:space="preserve"> </w:t>
      </w:r>
      <w:r>
        <w:rPr>
          <w:rFonts w:hint="eastAsia" w:ascii="宋体" w:hAnsi="宋体" w:cs="黑体"/>
          <w:color w:val="000000"/>
          <w:sz w:val="26"/>
          <w:szCs w:val="26"/>
        </w:rPr>
        <w:t>双核驱动  形成三区统筹发展新格局</w:t>
      </w:r>
      <w:bookmarkEnd w:id="263"/>
      <w:bookmarkEnd w:id="264"/>
      <w:bookmarkEnd w:id="265"/>
      <w:bookmarkEnd w:id="275"/>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深入实施双核驱动战略，</w:t>
      </w:r>
      <w:r>
        <w:rPr>
          <w:rFonts w:hint="eastAsia" w:ascii="仿宋_GB2312" w:hAnsi="仿宋" w:eastAsia="仿宋_GB2312" w:cs="仿宋_GB2312"/>
          <w:color w:val="000000"/>
          <w:spacing w:val="3"/>
          <w:sz w:val="26"/>
          <w:szCs w:val="26"/>
        </w:rPr>
        <w:t>促进</w:t>
      </w:r>
      <w:r>
        <w:rPr>
          <w:rFonts w:hint="eastAsia" w:ascii="仿宋_GB2312" w:hAnsi="仿宋" w:eastAsia="仿宋_GB2312"/>
          <w:color w:val="000000"/>
          <w:sz w:val="26"/>
          <w:szCs w:val="26"/>
        </w:rPr>
        <w:t>北部湾经济区、西江经济带、左右江革命老区加快发展，推进桂林国际旅游胜地建设，构建</w:t>
      </w:r>
      <w:r>
        <w:rPr>
          <w:rFonts w:hint="eastAsia" w:ascii="仿宋_GB2312" w:hAnsi="仿宋" w:eastAsia="仿宋_GB2312" w:cs="仿宋_GB2312"/>
          <w:color w:val="000000"/>
          <w:spacing w:val="3"/>
          <w:sz w:val="26"/>
          <w:szCs w:val="26"/>
        </w:rPr>
        <w:t>沿海沿江沿边</w:t>
      </w:r>
      <w:r>
        <w:rPr>
          <w:rFonts w:hint="eastAsia" w:ascii="仿宋_GB2312" w:hAnsi="仿宋" w:eastAsia="仿宋_GB2312"/>
          <w:color w:val="000000"/>
          <w:sz w:val="26"/>
          <w:szCs w:val="26"/>
        </w:rPr>
        <w:t>三区统筹</w:t>
      </w:r>
      <w:r>
        <w:rPr>
          <w:rFonts w:hint="eastAsia" w:ascii="仿宋_GB2312" w:hAnsi="仿宋" w:eastAsia="仿宋_GB2312" w:cs="仿宋_GB2312"/>
          <w:color w:val="000000"/>
          <w:spacing w:val="3"/>
          <w:sz w:val="26"/>
          <w:szCs w:val="26"/>
        </w:rPr>
        <w:t>发展新格局。</w:t>
      </w:r>
    </w:p>
    <w:p>
      <w:pPr>
        <w:pStyle w:val="3"/>
        <w:spacing w:beforeLines="50" w:afterLines="50" w:line="460" w:lineRule="exact"/>
        <w:rPr>
          <w:rFonts w:ascii="宋体" w:hAnsi="宋体" w:cs="黑体"/>
          <w:b/>
          <w:color w:val="000000"/>
          <w:sz w:val="26"/>
          <w:szCs w:val="26"/>
        </w:rPr>
      </w:pPr>
      <w:bookmarkStart w:id="276" w:name="_Toc438458620"/>
      <w:bookmarkStart w:id="277" w:name="_Toc428544944"/>
      <w:bookmarkStart w:id="278" w:name="_Toc437010632"/>
      <w:bookmarkStart w:id="279" w:name="_Toc422341048"/>
      <w:r>
        <w:rPr>
          <w:rFonts w:hint="eastAsia" w:ascii="宋体" w:hAnsi="宋体" w:cs="黑体"/>
          <w:b/>
          <w:color w:val="000000"/>
          <w:sz w:val="26"/>
          <w:szCs w:val="26"/>
        </w:rPr>
        <w:t>第三十章  推进沿海沿江沿边协调发展</w:t>
      </w:r>
      <w:bookmarkEnd w:id="276"/>
      <w:bookmarkEnd w:id="277"/>
      <w:bookmarkEnd w:id="278"/>
      <w:bookmarkEnd w:id="279"/>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沿海地区以北部湾经济区为重点，沿江地区以珠江—西江经济带和</w:t>
      </w:r>
      <w:r>
        <w:rPr>
          <w:rFonts w:hint="eastAsia" w:ascii="仿宋_GB2312" w:hAnsi="仿宋" w:eastAsia="仿宋_GB2312"/>
          <w:color w:val="000000"/>
          <w:sz w:val="26"/>
          <w:szCs w:val="26"/>
        </w:rPr>
        <w:t>桂林国际旅游胜地</w:t>
      </w:r>
      <w:r>
        <w:rPr>
          <w:rFonts w:hint="eastAsia" w:ascii="宋体" w:hAnsi="宋体" w:eastAsia="仿宋_GB2312" w:cs="仿宋_GB2312"/>
          <w:color w:val="000000"/>
          <w:sz w:val="26"/>
          <w:szCs w:val="26"/>
        </w:rPr>
        <w:t>为重点，沿边地区以</w:t>
      </w:r>
      <w:r>
        <w:rPr>
          <w:rFonts w:hint="eastAsia" w:ascii="仿宋_GB2312" w:hAnsi="仿宋" w:eastAsia="仿宋_GB2312"/>
          <w:color w:val="000000"/>
          <w:sz w:val="26"/>
          <w:szCs w:val="26"/>
        </w:rPr>
        <w:t>左右江革命老区和沿边经济带为重点，</w:t>
      </w:r>
      <w:r>
        <w:rPr>
          <w:rFonts w:hint="eastAsia" w:ascii="宋体" w:hAnsi="宋体" w:eastAsia="仿宋_GB2312" w:cs="仿宋_GB2312"/>
          <w:color w:val="000000"/>
          <w:sz w:val="26"/>
          <w:szCs w:val="26"/>
        </w:rPr>
        <w:t>统筹</w:t>
      </w:r>
      <w:r>
        <w:rPr>
          <w:rFonts w:hint="eastAsia" w:ascii="仿宋_GB2312" w:hAnsi="仿宋" w:eastAsia="仿宋_GB2312"/>
          <w:color w:val="000000"/>
          <w:sz w:val="26"/>
          <w:szCs w:val="26"/>
        </w:rPr>
        <w:t>推进江海边</w:t>
      </w:r>
      <w:r>
        <w:rPr>
          <w:rFonts w:hint="eastAsia" w:ascii="宋体" w:hAnsi="宋体" w:eastAsia="仿宋_GB2312" w:cs="仿宋_GB2312"/>
          <w:color w:val="000000"/>
          <w:sz w:val="26"/>
          <w:szCs w:val="26"/>
        </w:rPr>
        <w:t>特色发展、差异化发展、协调发展。</w:t>
      </w:r>
    </w:p>
    <w:p>
      <w:pPr>
        <w:pStyle w:val="4"/>
        <w:spacing w:beforeLines="50" w:afterLines="50" w:line="460" w:lineRule="exact"/>
        <w:rPr>
          <w:rFonts w:ascii="宋体" w:hAnsi="宋体" w:cs="仿宋_GB2312"/>
          <w:color w:val="000000"/>
          <w:sz w:val="26"/>
          <w:szCs w:val="26"/>
        </w:rPr>
      </w:pPr>
      <w:bookmarkStart w:id="280" w:name="_Toc428544945"/>
      <w:bookmarkStart w:id="281" w:name="_Toc422341049"/>
      <w:bookmarkStart w:id="282" w:name="_Toc437010633"/>
      <w:r>
        <w:rPr>
          <w:rFonts w:hint="eastAsia" w:ascii="宋体" w:hAnsi="宋体" w:cs="仿宋_GB2312"/>
          <w:color w:val="000000"/>
          <w:sz w:val="26"/>
          <w:szCs w:val="26"/>
        </w:rPr>
        <w:t>第一节  打造北部湾经济区</w:t>
      </w:r>
      <w:bookmarkEnd w:id="280"/>
      <w:bookmarkEnd w:id="281"/>
      <w:r>
        <w:rPr>
          <w:rFonts w:hint="eastAsia" w:ascii="宋体" w:hAnsi="宋体" w:cs="仿宋_GB2312"/>
          <w:color w:val="000000"/>
          <w:sz w:val="26"/>
          <w:szCs w:val="26"/>
        </w:rPr>
        <w:t>升级版</w:t>
      </w:r>
      <w:bookmarkEnd w:id="282"/>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把北部湾经济区开放开发摆到国家“一带一路”倡议中谋划，以建设“一带一路”有机衔接重要门户的核心区为目标，发挥面向东盟和沿海沿边优势，在更高层次、更宽领域参与国际合作与竞争，实现升级发展。强化综合交通枢纽建设，完善集疏运体系，打造北部湾现代化港口群，提升北部湾连结西南中南、直通东盟的陆海空运输能力。加快发展临港产业集群，布局完善石化、冶金、汽车、能源、新材料、电子信息、装备制造等先进制造业，大力发展战略性新兴产业和现代服务业，推动优势产业集群化、智能化、高端化发展，打造石化、能源、修造船等国家级产业基地，构建具有国际竞争力的现代产业体系。推动北部湾同城化纵深发展，建设智慧北部湾，打造北部湾国家级沿海城市群。推进自由贸易试验区、边境和跨境经济合作区、海洋合作综合试验区建设，探索开放合作新模式，打造</w:t>
      </w:r>
      <w:r>
        <w:rPr>
          <w:rFonts w:hint="eastAsia" w:ascii="宋体" w:hAnsi="宋体" w:eastAsia="仿宋_GB2312" w:cs="仿宋_GB2312"/>
          <w:color w:val="000000"/>
          <w:spacing w:val="4"/>
          <w:sz w:val="26"/>
          <w:szCs w:val="26"/>
        </w:rPr>
        <w:t>服务“一</w:t>
      </w:r>
      <w:r>
        <w:rPr>
          <w:rFonts w:hint="eastAsia" w:ascii="宋体" w:hAnsi="宋体" w:eastAsia="仿宋_GB2312" w:cs="仿宋_GB2312"/>
          <w:color w:val="000000"/>
          <w:sz w:val="26"/>
          <w:szCs w:val="26"/>
        </w:rPr>
        <w:t>带一路”发展的国际区域合作新高地。2020年经济区四市经济规模占全区比重突破40%，城镇化率达到60%。</w:t>
      </w:r>
    </w:p>
    <w:p>
      <w:pPr>
        <w:pStyle w:val="4"/>
        <w:spacing w:beforeLines="50" w:afterLines="50" w:line="460" w:lineRule="exact"/>
        <w:rPr>
          <w:rFonts w:ascii="宋体" w:hAnsi="宋体" w:cs="仿宋_GB2312"/>
          <w:color w:val="000000"/>
          <w:sz w:val="26"/>
          <w:szCs w:val="26"/>
        </w:rPr>
      </w:pPr>
      <w:bookmarkStart w:id="283" w:name="_Toc437010634"/>
      <w:bookmarkStart w:id="284" w:name="_Toc428544946"/>
      <w:bookmarkStart w:id="285" w:name="_Toc422341050"/>
      <w:r>
        <w:rPr>
          <w:rFonts w:hint="eastAsia" w:ascii="宋体" w:hAnsi="宋体" w:cs="仿宋_GB2312"/>
          <w:color w:val="000000"/>
          <w:sz w:val="26"/>
          <w:szCs w:val="26"/>
        </w:rPr>
        <w:t>第二节  加快发展珠江—西江经济带</w:t>
      </w:r>
      <w:bookmarkEnd w:id="283"/>
      <w:bookmarkEnd w:id="284"/>
      <w:bookmarkEnd w:id="285"/>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把珠江—西江经济带开发建设摆到国家流域开发和全面深化内地与港澳台合作的战略高度谋划，以建设西南中南地区开放发展的战略支撑带为目标，发挥承东启西和通往粤港澳优势，培育形成新的经济增长带。加快推进西江经济带基础设施建设大会战，优化畅通西江航道，强化铁水、公水多式联运，创新船闸建设营运机制，全面提升西江黄金水道通行和港口吞吐能力，构建综合立体交通走廊。强化沿江重点城市产业分工合作，建设桂东国家承接产业转移示范区，重点发展汽车、食品、装备制造、电子信息、建材等产业集群和战略性新兴产业，建设现代服务业集聚区，打造优势互补、协作配套的沿江产业带。发挥粤桂合作特别试验区先行示范作用，支持桂东地区融入珠三角经济圈，促进跨省区产业合作发展。发挥中心城市辐射带动作用，促进城市间分工合作、协同发展，构建以桂中、桂东南城镇群为主的沿江城镇体系。统筹西江流域上下游发展，强化生态环境联保联防联控，构建千里绿色走廊。规划建设西江水系沿岸生态农业产业带。</w:t>
      </w:r>
    </w:p>
    <w:p>
      <w:pPr>
        <w:pStyle w:val="4"/>
        <w:spacing w:beforeLines="50" w:afterLines="50" w:line="460" w:lineRule="exact"/>
        <w:rPr>
          <w:rFonts w:ascii="宋体" w:hAnsi="宋体" w:cs="仿宋_GB2312"/>
          <w:color w:val="000000"/>
          <w:sz w:val="26"/>
          <w:szCs w:val="26"/>
        </w:rPr>
      </w:pPr>
      <w:bookmarkStart w:id="286" w:name="_Toc422341051"/>
      <w:bookmarkStart w:id="287" w:name="_Toc428544947"/>
      <w:bookmarkStart w:id="288" w:name="_Toc437010635"/>
      <w:r>
        <w:rPr>
          <w:rFonts w:hint="eastAsia" w:ascii="宋体" w:hAnsi="宋体" w:cs="仿宋_GB2312"/>
          <w:color w:val="000000"/>
          <w:sz w:val="26"/>
          <w:szCs w:val="26"/>
        </w:rPr>
        <w:t>第三节  加快振兴左右江革命老区</w:t>
      </w:r>
      <w:bookmarkEnd w:id="286"/>
      <w:bookmarkEnd w:id="287"/>
      <w:bookmarkEnd w:id="288"/>
    </w:p>
    <w:p>
      <w:pPr>
        <w:spacing w:afterLines="50"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把左右江革命老区振兴摆到国家深入实施西部大开发和脱贫攻坚战略中谋划，以深入实施左右江革命老区振兴规划为契机，发挥资源和沿边区位优势，大力发展生态经济，打赢脱贫攻坚战，增强自我发展能力。完善交通骨干网，加强农村道路建设，大幅提升老区通达率。积极发展清洁能源、有色金属、农林产品加工、养生健康、旅游休闲等特色优势产业，提高资源就地转化率，建设一批重大产业基地，构建以生态经济为特色的现代产业体系。发挥崇左、百色沿边区位优势，大力发展边境贸易、加工贸易和口岸经济，促进跨境经济合作。大力实施精准扶贫精准脱贫，消除区域性整体贫困，加快建成山清水秀、安居乐业的幸福老区。</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07" w:hRule="atLeast"/>
          <w:jc w:val="center"/>
        </w:trPr>
        <w:tc>
          <w:tcPr>
            <w:tcW w:w="623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黑体" w:hAnsi="黑体" w:eastAsia="黑体" w:cs="仿宋_GB2312"/>
                <w:color w:val="000000"/>
                <w:szCs w:val="24"/>
              </w:rPr>
            </w:pPr>
            <w:r>
              <w:rPr>
                <w:rFonts w:hint="eastAsia" w:ascii="黑体" w:hAnsi="黑体" w:eastAsia="黑体" w:cs="仿宋_GB2312"/>
                <w:color w:val="000000"/>
                <w:szCs w:val="24"/>
              </w:rPr>
              <w:t>专栏20  14个设区市战略重点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7082" w:hRule="atLeast"/>
          <w:jc w:val="center"/>
        </w:trPr>
        <w:tc>
          <w:tcPr>
            <w:tcW w:w="6237"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南宁市：</w:t>
            </w:r>
            <w:r>
              <w:rPr>
                <w:rFonts w:hint="eastAsia" w:ascii="宋体" w:hAnsi="宋体" w:cs="仿宋_GB2312"/>
                <w:color w:val="000000"/>
                <w:sz w:val="18"/>
                <w:szCs w:val="18"/>
              </w:rPr>
              <w:t>建设面向东盟开放合作的门户枢纽城市、区域性国际城市、内陆开放型经济战略高地。</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柳州市：</w:t>
            </w:r>
            <w:r>
              <w:rPr>
                <w:rFonts w:hint="eastAsia" w:ascii="宋体" w:hAnsi="宋体" w:cs="仿宋_GB2312"/>
                <w:color w:val="000000"/>
                <w:sz w:val="18"/>
                <w:szCs w:val="18"/>
              </w:rPr>
              <w:t>建设西江经济带龙头城市、区域性先进制造业基地、区域性综合交通枢纽城市。</w:t>
            </w:r>
          </w:p>
          <w:p>
            <w:pPr>
              <w:spacing w:line="280" w:lineRule="exact"/>
              <w:rPr>
                <w:rFonts w:ascii="黑体" w:hAnsi="黑体" w:eastAsia="黑体" w:cs="仿宋_GB2312"/>
                <w:color w:val="000000"/>
                <w:spacing w:val="-6"/>
                <w:sz w:val="18"/>
                <w:szCs w:val="18"/>
              </w:rPr>
            </w:pPr>
            <w:r>
              <w:rPr>
                <w:rFonts w:hint="eastAsia" w:ascii="黑体" w:hAnsi="黑体" w:eastAsia="黑体" w:cs="仿宋_GB2312"/>
                <w:color w:val="000000"/>
                <w:spacing w:val="-6"/>
                <w:sz w:val="18"/>
                <w:szCs w:val="18"/>
              </w:rPr>
              <w:t>桂林市：</w:t>
            </w:r>
            <w:r>
              <w:rPr>
                <w:rFonts w:hint="eastAsia" w:ascii="宋体" w:hAnsi="宋体" w:cs="仿宋_GB2312"/>
                <w:color w:val="000000"/>
                <w:spacing w:val="-6"/>
                <w:sz w:val="18"/>
                <w:szCs w:val="18"/>
              </w:rPr>
              <w:t>建设国际旅游胜地、国际文化旅游交流合作基地、全国生态文明先行区。</w:t>
            </w:r>
          </w:p>
          <w:p>
            <w:pPr>
              <w:spacing w:line="280" w:lineRule="exact"/>
              <w:rPr>
                <w:rFonts w:ascii="黑体" w:hAnsi="黑体" w:eastAsia="黑体" w:cs="仿宋_GB2312"/>
                <w:color w:val="000000"/>
                <w:sz w:val="18"/>
                <w:szCs w:val="18"/>
              </w:rPr>
            </w:pPr>
            <w:r>
              <w:rPr>
                <w:rFonts w:hint="eastAsia" w:ascii="黑体" w:hAnsi="黑体" w:eastAsia="黑体" w:cs="仿宋_GB2312"/>
                <w:color w:val="000000"/>
                <w:sz w:val="18"/>
                <w:szCs w:val="18"/>
              </w:rPr>
              <w:t>梧州市：</w:t>
            </w:r>
            <w:r>
              <w:rPr>
                <w:rFonts w:hint="eastAsia" w:ascii="宋体" w:hAnsi="宋体" w:cs="仿宋_GB2312"/>
                <w:color w:val="000000"/>
                <w:sz w:val="18"/>
                <w:szCs w:val="18"/>
              </w:rPr>
              <w:t>建设西江经济带中心城市、粤桂合作先行示范区、国家循环经济示范城市。</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北海市：</w:t>
            </w:r>
            <w:r>
              <w:rPr>
                <w:rFonts w:hint="eastAsia" w:ascii="宋体" w:hAnsi="宋体" w:cs="仿宋_GB2312"/>
                <w:color w:val="000000"/>
                <w:sz w:val="18"/>
                <w:szCs w:val="18"/>
              </w:rPr>
              <w:t>建设高新技术与海洋经济合作示范区、生态宜居滨海城市、海上丝绸之路旅游文化名城。</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防城港市：</w:t>
            </w:r>
            <w:r>
              <w:rPr>
                <w:rFonts w:hint="eastAsia" w:ascii="宋体" w:hAnsi="宋体" w:cs="仿宋_GB2312"/>
                <w:color w:val="000000"/>
                <w:sz w:val="18"/>
                <w:szCs w:val="18"/>
              </w:rPr>
              <w:t>建设面向东盟的国际枢纽港、国家重点开发开放试验区、生态宜居海湾城市。</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钦州市：</w:t>
            </w:r>
            <w:r>
              <w:rPr>
                <w:rFonts w:hint="eastAsia" w:ascii="宋体" w:hAnsi="宋体" w:cs="仿宋_GB2312"/>
                <w:color w:val="000000"/>
                <w:sz w:val="18"/>
                <w:szCs w:val="18"/>
              </w:rPr>
              <w:t>建设“一带一路”有机衔接重要门户港、区域性产业合作新高地、现代化生态滨海城市。</w:t>
            </w:r>
          </w:p>
          <w:p>
            <w:pPr>
              <w:spacing w:line="280" w:lineRule="exact"/>
              <w:rPr>
                <w:rFonts w:ascii="黑体" w:hAnsi="黑体" w:eastAsia="黑体" w:cs="仿宋_GB2312"/>
                <w:color w:val="000000"/>
                <w:sz w:val="18"/>
                <w:szCs w:val="18"/>
              </w:rPr>
            </w:pPr>
            <w:r>
              <w:rPr>
                <w:rFonts w:hint="eastAsia" w:ascii="黑体" w:hAnsi="黑体" w:eastAsia="黑体" w:cs="仿宋_GB2312"/>
                <w:color w:val="000000"/>
                <w:sz w:val="18"/>
                <w:szCs w:val="18"/>
              </w:rPr>
              <w:t>贵港市：</w:t>
            </w:r>
            <w:r>
              <w:rPr>
                <w:rFonts w:hint="eastAsia" w:ascii="宋体" w:hAnsi="宋体" w:cs="仿宋_GB2312"/>
                <w:color w:val="000000"/>
                <w:sz w:val="18"/>
                <w:szCs w:val="18"/>
              </w:rPr>
              <w:t>建设西江经济带核心港口城市、新兴工业基地、区域性商贸物流中心。</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玉林市：</w:t>
            </w:r>
            <w:r>
              <w:rPr>
                <w:rFonts w:hint="eastAsia" w:ascii="宋体" w:hAnsi="宋体" w:cs="仿宋_GB2312"/>
                <w:color w:val="000000"/>
                <w:sz w:val="18"/>
                <w:szCs w:val="18"/>
              </w:rPr>
              <w:t>建设区域性先进制造业基地、国家现代农业示范区、非公经济发展示范城市。</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百色市：</w:t>
            </w:r>
            <w:r>
              <w:rPr>
                <w:rFonts w:hint="eastAsia" w:ascii="宋体" w:hAnsi="宋体" w:cs="仿宋_GB2312"/>
                <w:color w:val="000000"/>
                <w:sz w:val="18"/>
                <w:szCs w:val="18"/>
              </w:rPr>
              <w:t>建设国家生态铝产业示范基地、区域性现代农业示范中心、红色旅游创新区。</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贺州市：</w:t>
            </w:r>
            <w:r>
              <w:rPr>
                <w:rFonts w:hint="eastAsia" w:ascii="宋体" w:hAnsi="宋体" w:cs="仿宋_GB2312"/>
                <w:color w:val="000000"/>
                <w:sz w:val="18"/>
                <w:szCs w:val="18"/>
              </w:rPr>
              <w:t>建设向东开放的门户枢纽城市、新型材料基地、生态养生长寿胜地。</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河池市：</w:t>
            </w:r>
            <w:r>
              <w:rPr>
                <w:rFonts w:hint="eastAsia" w:ascii="宋体" w:hAnsi="宋体" w:cs="仿宋_GB2312"/>
                <w:color w:val="000000"/>
                <w:sz w:val="18"/>
                <w:szCs w:val="18"/>
              </w:rPr>
              <w:t>建设国家生态文明先行示范区、养生健康国际旅游区、精准脱贫示范区。</w:t>
            </w:r>
          </w:p>
          <w:p>
            <w:pPr>
              <w:spacing w:line="280" w:lineRule="exact"/>
              <w:rPr>
                <w:rFonts w:ascii="宋体" w:hAnsi="宋体" w:cs="仿宋_GB2312"/>
                <w:color w:val="000000"/>
                <w:sz w:val="18"/>
                <w:szCs w:val="18"/>
              </w:rPr>
            </w:pPr>
            <w:r>
              <w:rPr>
                <w:rFonts w:hint="eastAsia" w:ascii="黑体" w:hAnsi="黑体" w:eastAsia="黑体" w:cs="仿宋_GB2312"/>
                <w:color w:val="000000"/>
                <w:sz w:val="18"/>
                <w:szCs w:val="18"/>
              </w:rPr>
              <w:t>来宾市：</w:t>
            </w:r>
            <w:r>
              <w:rPr>
                <w:rFonts w:hint="eastAsia" w:ascii="宋体" w:hAnsi="宋体" w:cs="仿宋_GB2312"/>
                <w:color w:val="000000"/>
                <w:sz w:val="18"/>
                <w:szCs w:val="18"/>
              </w:rPr>
              <w:t>建设区域性新兴工业基地、国家新型城镇化综合试点城市、双核驱动战略重要节点城市。</w:t>
            </w:r>
          </w:p>
          <w:p>
            <w:pPr>
              <w:spacing w:line="280" w:lineRule="exact"/>
              <w:rPr>
                <w:rFonts w:ascii="黑体" w:hAnsi="黑体" w:eastAsia="黑体" w:cs="仿宋_GB2312"/>
                <w:color w:val="000000"/>
                <w:sz w:val="24"/>
                <w:szCs w:val="24"/>
              </w:rPr>
            </w:pPr>
            <w:r>
              <w:rPr>
                <w:rFonts w:hint="eastAsia" w:ascii="黑体" w:hAnsi="黑体" w:eastAsia="黑体" w:cs="仿宋_GB2312"/>
                <w:color w:val="000000"/>
                <w:sz w:val="18"/>
                <w:szCs w:val="18"/>
              </w:rPr>
              <w:t>崇左市：</w:t>
            </w:r>
            <w:r>
              <w:rPr>
                <w:rFonts w:hint="eastAsia" w:ascii="宋体" w:hAnsi="宋体" w:cs="仿宋_GB2312"/>
                <w:color w:val="000000"/>
                <w:sz w:val="18"/>
                <w:szCs w:val="18"/>
              </w:rPr>
              <w:t>建设面向东盟开放合作新高地、沿边开发开放桥头堡、边关风情旅游带核心区。</w:t>
            </w:r>
          </w:p>
        </w:tc>
      </w:tr>
    </w:tbl>
    <w:p>
      <w:pPr>
        <w:pStyle w:val="4"/>
        <w:spacing w:beforeLines="50" w:afterLines="50" w:line="460" w:lineRule="exact"/>
        <w:rPr>
          <w:rFonts w:ascii="宋体" w:hAnsi="宋体" w:cs="仿宋_GB2312"/>
          <w:color w:val="000000"/>
          <w:sz w:val="26"/>
          <w:szCs w:val="26"/>
        </w:rPr>
      </w:pPr>
      <w:bookmarkStart w:id="289" w:name="_Toc428544948"/>
      <w:bookmarkStart w:id="290" w:name="_Toc437010636"/>
      <w:r>
        <w:rPr>
          <w:rFonts w:hint="eastAsia" w:ascii="宋体" w:hAnsi="宋体" w:cs="仿宋_GB2312"/>
          <w:color w:val="000000"/>
          <w:sz w:val="26"/>
          <w:szCs w:val="26"/>
        </w:rPr>
        <w:t>第四节  提升桂林国际旅游胜地</w:t>
      </w:r>
      <w:bookmarkEnd w:id="289"/>
      <w:r>
        <w:rPr>
          <w:rFonts w:hint="eastAsia" w:ascii="宋体" w:hAnsi="宋体" w:cs="仿宋_GB2312"/>
          <w:color w:val="000000"/>
          <w:sz w:val="26"/>
          <w:szCs w:val="26"/>
        </w:rPr>
        <w:t>影响力</w:t>
      </w:r>
      <w:bookmarkEnd w:id="290"/>
    </w:p>
    <w:p>
      <w:pPr>
        <w:spacing w:afterLines="50" w:line="460" w:lineRule="exact"/>
        <w:ind w:firstLine="520" w:firstLineChars="200"/>
        <w:rPr>
          <w:rFonts w:ascii="宋体" w:hAnsi="宋体" w:eastAsia="仿宋_GB2312" w:cs="FangSong_GB2312-Identity-H"/>
          <w:color w:val="000000"/>
          <w:kern w:val="0"/>
          <w:sz w:val="26"/>
          <w:szCs w:val="26"/>
        </w:rPr>
      </w:pPr>
      <w:r>
        <w:rPr>
          <w:rFonts w:hint="eastAsia" w:ascii="宋体" w:hAnsi="宋体" w:eastAsia="仿宋_GB2312" w:cs="FangSong_GB2312-Identity-H"/>
          <w:color w:val="000000"/>
          <w:kern w:val="0"/>
          <w:sz w:val="26"/>
          <w:szCs w:val="26"/>
        </w:rPr>
        <w:t>发挥桂林品牌优势，打造大旅游圈，增强对全区旅游业发展的龙头带动作用。加强桂林连通国内外的航空、高速铁路、高速公路和旅游基础设施建设，强化区域性综合交通枢纽地位，建成设施完备、功能完善的旅游服务体系。发展新型旅游业态，拓展旅游功能，加快由山水观光旅游向休闲度假等复合型旅游转型。促进旅游业与相关产业融合发展，积极发展电子信息、生物制药、装备制造、新能源、节能环保等优势产业和新兴产业，形成以旅游业和新型工业、现代农业为主的产业集群。推动粤桂湘黔旅游联盟总部设在桂林，打造国际文化旅游交流合作平台。促进桂林贺州旅游一体化。加强漓江山水生态保护，实现可持续发展。</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专栏21  桂林国际旅游胜地建设工程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jc w:val="center"/>
        </w:trPr>
        <w:tc>
          <w:tcPr>
            <w:tcW w:w="6237" w:type="dxa"/>
            <w:vAlign w:val="center"/>
          </w:tcPr>
          <w:p>
            <w:pPr>
              <w:spacing w:line="300" w:lineRule="exact"/>
              <w:rPr>
                <w:rFonts w:ascii="宋体" w:hAnsi="宋体" w:cs="仿宋_GB2312"/>
                <w:color w:val="000000"/>
                <w:sz w:val="18"/>
                <w:szCs w:val="18"/>
              </w:rPr>
            </w:pPr>
            <w:r>
              <w:rPr>
                <w:rFonts w:hint="eastAsia" w:ascii="宋体" w:hAnsi="宋体" w:eastAsia="黑体" w:cs="仿宋_GB2312"/>
                <w:color w:val="000000"/>
                <w:sz w:val="18"/>
                <w:szCs w:val="18"/>
              </w:rPr>
              <w:t>八大系列旅游产品：</w:t>
            </w:r>
            <w:r>
              <w:rPr>
                <w:rFonts w:hint="eastAsia" w:ascii="宋体" w:hAnsi="宋体" w:cs="仿宋_GB2312"/>
                <w:color w:val="000000"/>
                <w:sz w:val="18"/>
                <w:szCs w:val="18"/>
              </w:rPr>
              <w:t>山水观光、休闲度假、历史文化、民族文化、红色旅游、生态乡村、户外运动、浪漫婚典等旅游。</w:t>
            </w:r>
          </w:p>
          <w:p>
            <w:pPr>
              <w:spacing w:line="300" w:lineRule="exact"/>
              <w:rPr>
                <w:rFonts w:ascii="宋体" w:hAnsi="宋体" w:cs="仿宋_GB2312"/>
                <w:color w:val="000000"/>
                <w:szCs w:val="21"/>
              </w:rPr>
            </w:pPr>
            <w:r>
              <w:rPr>
                <w:rFonts w:hint="eastAsia" w:ascii="宋体" w:hAnsi="宋体" w:eastAsia="黑体" w:cs="仿宋_GB2312"/>
                <w:color w:val="000000"/>
                <w:sz w:val="18"/>
                <w:szCs w:val="18"/>
              </w:rPr>
              <w:t>八大旅游精品：</w:t>
            </w:r>
            <w:r>
              <w:rPr>
                <w:rFonts w:hint="eastAsia" w:ascii="宋体" w:hAnsi="宋体" w:cs="仿宋_GB2312"/>
                <w:color w:val="000000"/>
                <w:sz w:val="18"/>
                <w:szCs w:val="18"/>
              </w:rPr>
              <w:t>漓江风景名胜区、两江四湖景区、阳朔山水休闲景区、龙胜龙脊梯田景区、资源八角寨丹霞景区、兴安灵渠景区、猫儿山养生度假区、动感天湖景区。</w:t>
            </w:r>
          </w:p>
        </w:tc>
      </w:tr>
    </w:tbl>
    <w:p>
      <w:pPr>
        <w:pStyle w:val="4"/>
        <w:spacing w:beforeLines="50" w:afterLines="50" w:line="460" w:lineRule="exact"/>
        <w:rPr>
          <w:rFonts w:ascii="宋体" w:hAnsi="宋体" w:cs="黑体"/>
          <w:b w:val="0"/>
          <w:color w:val="000000"/>
          <w:sz w:val="26"/>
          <w:szCs w:val="26"/>
        </w:rPr>
      </w:pPr>
      <w:bookmarkStart w:id="291" w:name="_Toc422341052"/>
      <w:bookmarkStart w:id="292" w:name="_Toc428544949"/>
      <w:bookmarkStart w:id="293" w:name="_Toc437010637"/>
      <w:r>
        <w:rPr>
          <w:rFonts w:hint="eastAsia" w:ascii="宋体" w:hAnsi="宋体" w:cs="仿宋_GB2312"/>
          <w:color w:val="000000"/>
          <w:sz w:val="26"/>
          <w:szCs w:val="26"/>
        </w:rPr>
        <w:t>第五节  加快</w:t>
      </w:r>
      <w:bookmarkEnd w:id="291"/>
      <w:bookmarkEnd w:id="292"/>
      <w:r>
        <w:rPr>
          <w:rFonts w:hint="eastAsia" w:ascii="宋体" w:hAnsi="宋体" w:cs="仿宋_GB2312"/>
          <w:color w:val="000000"/>
          <w:sz w:val="26"/>
          <w:szCs w:val="26"/>
        </w:rPr>
        <w:t>沿边地区开发开放</w:t>
      </w:r>
      <w:bookmarkEnd w:id="293"/>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以东兴、防城、宁明、凭祥、龙州、大新、靖西、那坡等沿边县市区为重点，大力推进重点开发开放试验区、沿边口岸、边境城市、边境和跨境经济合作区建设，构建特色鲜明的沿边经济带。扶持边境地区特色优势产业发展，深化与周边地区产业和市场合作，建设能源矿产、农林产品进口加工基地和承接产业转移示范区。加大对边境地区政策扶持，促进加工贸易向边境口岸和城镇集聚，发展边民互市贸易。推进沿边新型城镇示范带和边民集居点建设，增强边境城镇综合承载力，树立国界新形象。深入推进兴边富民行动，加强边境基础设施建设，改善边民生产生活条件，实现稳边安边兴边，建设经济繁荣、生活富裕的新边疆。</w:t>
      </w:r>
    </w:p>
    <w:p>
      <w:pPr>
        <w:pStyle w:val="3"/>
        <w:spacing w:beforeLines="50" w:afterLines="50" w:line="460" w:lineRule="exact"/>
        <w:rPr>
          <w:rFonts w:ascii="宋体" w:hAnsi="宋体" w:cs="黑体"/>
          <w:b/>
          <w:color w:val="000000"/>
          <w:sz w:val="26"/>
          <w:szCs w:val="26"/>
        </w:rPr>
      </w:pPr>
      <w:bookmarkStart w:id="294" w:name="_Toc438458622"/>
      <w:r>
        <w:rPr>
          <w:rFonts w:hint="eastAsia" w:ascii="宋体" w:hAnsi="宋体" w:cs="黑体"/>
          <w:b/>
          <w:color w:val="000000"/>
          <w:sz w:val="26"/>
          <w:szCs w:val="26"/>
        </w:rPr>
        <w:t>第三十一章  打造海洋经济强区</w:t>
      </w:r>
      <w:bookmarkEnd w:id="294"/>
    </w:p>
    <w:p>
      <w:pPr>
        <w:spacing w:afterLines="50" w:line="460" w:lineRule="exact"/>
        <w:ind w:firstLine="536" w:firstLineChars="200"/>
        <w:rPr>
          <w:rFonts w:ascii="宋体" w:hAnsi="宋体" w:eastAsia="仿宋_GB2312" w:cs="FangSong_GB2312-Identity-H"/>
          <w:color w:val="000000"/>
          <w:spacing w:val="4"/>
          <w:kern w:val="0"/>
          <w:sz w:val="32"/>
          <w:szCs w:val="32"/>
        </w:rPr>
      </w:pPr>
      <w:r>
        <w:rPr>
          <w:rFonts w:hint="eastAsia" w:ascii="宋体" w:hAnsi="宋体" w:eastAsia="仿宋_GB2312" w:cs="FangSong_GB2312-Identity-H"/>
          <w:color w:val="000000"/>
          <w:spacing w:val="4"/>
          <w:kern w:val="0"/>
          <w:sz w:val="26"/>
          <w:szCs w:val="26"/>
        </w:rPr>
        <w:t>编制实施海洋主体功能区规划，构建陆海协调、人海和谐的开发格局，拓展蓝色经济空间，2020年海洋生产总值占地区生产总值比重超过7%。整合沿海港口岸线资源开发，打造现代化港口群，依托港口发展临港产业集群，大力发展海洋船舶和工程装备制造、海洋交通运输、海洋渔业、海洋医药、海洋旅游、海洋能源、海洋服务等海洋产业。加强海洋技术研发，重点在深海、环保、安全等海洋高技术领域取得突破，</w:t>
      </w:r>
      <w:r>
        <w:rPr>
          <w:rFonts w:hint="eastAsia" w:ascii="宋体" w:hAnsi="宋体" w:eastAsia="仿宋_GB2312" w:cs="FangSong_GB2312-Identity-H"/>
          <w:color w:val="000000"/>
          <w:spacing w:val="-4"/>
          <w:kern w:val="0"/>
          <w:sz w:val="26"/>
          <w:szCs w:val="26"/>
        </w:rPr>
        <w:t>提高海洋开发利用能力。优化已有岸线使用效率，加强海岸带保护，科学划定海洋生态红线，严格控制围填海规模，自然岸线保有率不低于40%。加强红树林、河口港湾湿地等海洋生态保护，重点建设涠洲岛、斜阳岛、茅尾海等重要海洋生态功能区，实施陆源污染物排海总量控制制度，推进海域海岛海岸带生态修复。建立海洋资源环境承载力预警机制，提高海洋灾害风险评估、防灾减灾和突发事故应急能力。加强与粤琼和东盟海洋资源开发合作，推进海洋合作综合试验区建设。</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专栏22  海洋经济重点工程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0" w:hRule="atLeast"/>
          <w:jc w:val="center"/>
        </w:trPr>
        <w:tc>
          <w:tcPr>
            <w:tcW w:w="6237" w:type="dxa"/>
            <w:vAlign w:val="center"/>
          </w:tcPr>
          <w:p>
            <w:pPr>
              <w:spacing w:line="300" w:lineRule="exact"/>
              <w:rPr>
                <w:rFonts w:ascii="宋体" w:hAnsi="宋体"/>
                <w:color w:val="000000"/>
                <w:sz w:val="18"/>
                <w:szCs w:val="18"/>
              </w:rPr>
            </w:pPr>
            <w:r>
              <w:rPr>
                <w:rFonts w:hint="eastAsia" w:ascii="黑体" w:hAnsi="黑体" w:eastAsia="黑体"/>
                <w:color w:val="000000"/>
                <w:sz w:val="18"/>
                <w:szCs w:val="18"/>
              </w:rPr>
              <w:t>海洋渔业：</w:t>
            </w:r>
            <w:r>
              <w:rPr>
                <w:rFonts w:hint="eastAsia" w:ascii="宋体" w:hAnsi="宋体"/>
                <w:color w:val="000000"/>
                <w:sz w:val="18"/>
                <w:szCs w:val="18"/>
              </w:rPr>
              <w:t>发展海产养殖、远洋捕捞、海水产品专业批发市场、海洋产品精深加工等。</w:t>
            </w:r>
          </w:p>
          <w:p>
            <w:pPr>
              <w:spacing w:line="300" w:lineRule="exact"/>
              <w:rPr>
                <w:rFonts w:ascii="宋体" w:hAnsi="宋体"/>
                <w:color w:val="000000"/>
                <w:sz w:val="18"/>
                <w:szCs w:val="18"/>
              </w:rPr>
            </w:pPr>
            <w:r>
              <w:rPr>
                <w:rFonts w:hint="eastAsia" w:ascii="黑体" w:hAnsi="黑体" w:eastAsia="黑体"/>
                <w:color w:val="000000"/>
                <w:sz w:val="18"/>
                <w:szCs w:val="18"/>
              </w:rPr>
              <w:t>海洋旅游：</w:t>
            </w:r>
            <w:r>
              <w:rPr>
                <w:rFonts w:hint="eastAsia" w:ascii="宋体" w:hAnsi="宋体"/>
                <w:color w:val="000000"/>
                <w:sz w:val="18"/>
                <w:szCs w:val="18"/>
              </w:rPr>
              <w:t>打造海上精品旅游线路，发展滨海休闲度假、邮轮游艇、海上运动等。</w:t>
            </w:r>
          </w:p>
          <w:p>
            <w:pPr>
              <w:spacing w:line="300" w:lineRule="exact"/>
              <w:rPr>
                <w:rFonts w:ascii="宋体" w:hAnsi="宋体"/>
                <w:color w:val="000000"/>
                <w:sz w:val="18"/>
                <w:szCs w:val="18"/>
              </w:rPr>
            </w:pPr>
            <w:r>
              <w:rPr>
                <w:rFonts w:hint="eastAsia" w:ascii="黑体" w:hAnsi="黑体" w:eastAsia="黑体"/>
                <w:color w:val="000000"/>
                <w:sz w:val="18"/>
                <w:szCs w:val="18"/>
              </w:rPr>
              <w:t>海洋科研：</w:t>
            </w:r>
            <w:r>
              <w:rPr>
                <w:rFonts w:hint="eastAsia" w:ascii="宋体" w:hAnsi="宋体"/>
                <w:color w:val="000000"/>
                <w:sz w:val="18"/>
                <w:szCs w:val="18"/>
              </w:rPr>
              <w:t>发展海洋生物资源开发、海洋生态修复、科研成果转化交易等。</w:t>
            </w:r>
          </w:p>
          <w:p>
            <w:pPr>
              <w:spacing w:line="300" w:lineRule="exact"/>
              <w:rPr>
                <w:rFonts w:ascii="宋体" w:hAnsi="宋体"/>
                <w:color w:val="000000"/>
                <w:spacing w:val="-4"/>
                <w:sz w:val="18"/>
                <w:szCs w:val="18"/>
              </w:rPr>
            </w:pPr>
            <w:r>
              <w:rPr>
                <w:rFonts w:hint="eastAsia" w:ascii="黑体" w:hAnsi="黑体" w:eastAsia="黑体"/>
                <w:color w:val="000000"/>
                <w:spacing w:val="-4"/>
                <w:sz w:val="18"/>
                <w:szCs w:val="18"/>
              </w:rPr>
              <w:t>重点项目：</w:t>
            </w:r>
            <w:r>
              <w:rPr>
                <w:rFonts w:hint="eastAsia" w:ascii="宋体" w:hAnsi="宋体"/>
                <w:color w:val="000000"/>
                <w:spacing w:val="-4"/>
                <w:sz w:val="18"/>
                <w:szCs w:val="18"/>
              </w:rPr>
              <w:t>建设现代化渔港经济区、中国-东盟海洋研究合作中心、中国南方海洋科技城、北海国家第四海洋研究所、北部湾航运交易所、国际海事法庭等。</w:t>
            </w:r>
          </w:p>
        </w:tc>
      </w:tr>
    </w:tbl>
    <w:p>
      <w:pPr>
        <w:pStyle w:val="3"/>
        <w:spacing w:beforeLines="50" w:afterLines="50" w:line="460" w:lineRule="exact"/>
        <w:rPr>
          <w:rFonts w:ascii="宋体" w:hAnsi="宋体" w:cs="黑体"/>
          <w:b/>
          <w:color w:val="000000"/>
          <w:sz w:val="26"/>
          <w:szCs w:val="26"/>
        </w:rPr>
      </w:pPr>
      <w:bookmarkStart w:id="295" w:name="_Toc437010638"/>
      <w:bookmarkStart w:id="296" w:name="_Toc428544950"/>
      <w:bookmarkStart w:id="297" w:name="_Toc422341053"/>
      <w:bookmarkStart w:id="298" w:name="_Toc438458621"/>
      <w:r>
        <w:rPr>
          <w:rFonts w:hint="eastAsia" w:ascii="宋体" w:hAnsi="宋体" w:cs="黑体"/>
          <w:b/>
          <w:color w:val="000000"/>
          <w:sz w:val="26"/>
          <w:szCs w:val="26"/>
        </w:rPr>
        <w:t>第三十二章  推动形成</w:t>
      </w:r>
      <w:bookmarkEnd w:id="295"/>
      <w:bookmarkEnd w:id="296"/>
      <w:bookmarkEnd w:id="297"/>
      <w:r>
        <w:rPr>
          <w:rFonts w:hint="eastAsia" w:ascii="宋体" w:hAnsi="宋体" w:cs="黑体"/>
          <w:b/>
          <w:color w:val="000000"/>
          <w:sz w:val="26"/>
          <w:szCs w:val="26"/>
        </w:rPr>
        <w:t>主体功能区布局</w:t>
      </w:r>
      <w:bookmarkEnd w:id="298"/>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发挥主体功能区作为国土空间开发保护基础制度的作用，促进人口、经济和资源环境均衡布局，打造生产空间集约高效、生活空间舒适宜居、生态空间山清水秀的美丽广西。</w:t>
      </w:r>
    </w:p>
    <w:p>
      <w:pPr>
        <w:pStyle w:val="4"/>
        <w:spacing w:beforeLines="50" w:afterLines="50" w:line="456" w:lineRule="exact"/>
        <w:rPr>
          <w:rFonts w:ascii="宋体" w:hAnsi="宋体" w:cs="仿宋_GB2312"/>
          <w:color w:val="000000"/>
          <w:sz w:val="26"/>
          <w:szCs w:val="26"/>
        </w:rPr>
      </w:pPr>
      <w:bookmarkStart w:id="299" w:name="_Toc437010639"/>
      <w:bookmarkStart w:id="300" w:name="_Toc428544951"/>
      <w:bookmarkStart w:id="301" w:name="_Toc422341054"/>
      <w:r>
        <w:rPr>
          <w:rFonts w:hint="eastAsia" w:ascii="宋体" w:hAnsi="宋体" w:cs="仿宋_GB2312"/>
          <w:color w:val="000000"/>
          <w:sz w:val="26"/>
          <w:szCs w:val="26"/>
        </w:rPr>
        <w:t>第一节  加快建设主体功能区</w:t>
      </w:r>
      <w:bookmarkEnd w:id="299"/>
      <w:bookmarkEnd w:id="300"/>
    </w:p>
    <w:p>
      <w:pPr>
        <w:spacing w:line="456" w:lineRule="exact"/>
        <w:ind w:firstLine="536" w:firstLineChars="200"/>
        <w:rPr>
          <w:rFonts w:ascii="宋体" w:hAnsi="宋体" w:eastAsia="仿宋_GB2312" w:cs="仿宋_GB2312"/>
          <w:color w:val="000000"/>
          <w:spacing w:val="6"/>
          <w:sz w:val="26"/>
          <w:szCs w:val="26"/>
        </w:rPr>
      </w:pPr>
      <w:r>
        <w:rPr>
          <w:rFonts w:hint="eastAsia" w:ascii="宋体" w:hAnsi="宋体" w:eastAsia="仿宋_GB2312" w:cs="仿宋_GB2312"/>
          <w:color w:val="000000"/>
          <w:spacing w:val="4"/>
          <w:sz w:val="26"/>
          <w:szCs w:val="26"/>
        </w:rPr>
        <w:t>深入实施主体功能区规划，推动市县依据主体功能定位科学发展，形成城镇化、农业发展、生态安全、自然岸线格局。科学谋划人口分布、经济布局、国土利用和城镇化，引导人口和经济向重点开发地区集聚。保护农业和生态发展空间，推动农产品主产区建成粮食和重要农产品生产的功能区，推动重点生态功能区建成重要生态产品供给和环境保护的核心区。建立健全适应主体功能区建设的财政、产业、投资、土地、人口、环境等政策。加大对重点生态功能区均衡性转移支付力度，建立对农产品主产区</w:t>
      </w:r>
      <w:r>
        <w:rPr>
          <w:rFonts w:hint="eastAsia" w:ascii="宋体" w:hAnsi="宋体" w:eastAsia="仿宋_GB2312" w:cs="仿宋_GB2312"/>
          <w:color w:val="000000"/>
          <w:spacing w:val="6"/>
          <w:sz w:val="26"/>
          <w:szCs w:val="26"/>
        </w:rPr>
        <w:t>的转移支付制度。重点生态功能区实行产业准入负面清单制度。落实市县党政领导班子和领导干部政绩考核评价办法，完善科学发展十佳县、进步县评比表彰方案，实施科学分类考核。</w:t>
      </w:r>
    </w:p>
    <w:p>
      <w:pPr>
        <w:pStyle w:val="4"/>
        <w:spacing w:beforeLines="50" w:afterLines="50" w:line="456" w:lineRule="exact"/>
        <w:rPr>
          <w:rFonts w:ascii="宋体" w:hAnsi="宋体" w:cs="仿宋_GB2312"/>
          <w:color w:val="000000"/>
          <w:sz w:val="26"/>
          <w:szCs w:val="26"/>
        </w:rPr>
      </w:pPr>
      <w:bookmarkStart w:id="302" w:name="_Toc437010640"/>
      <w:r>
        <w:rPr>
          <w:rFonts w:hint="eastAsia" w:ascii="宋体" w:hAnsi="宋体" w:cs="仿宋_GB2312"/>
          <w:color w:val="000000"/>
          <w:sz w:val="26"/>
          <w:szCs w:val="26"/>
        </w:rPr>
        <w:t xml:space="preserve">第二节 </w:t>
      </w:r>
      <w:r>
        <w:rPr>
          <w:rFonts w:ascii="宋体" w:hAnsi="宋体" w:cs="仿宋_GB2312"/>
          <w:color w:val="000000"/>
          <w:sz w:val="26"/>
          <w:szCs w:val="26"/>
        </w:rPr>
        <w:t xml:space="preserve"> </w:t>
      </w:r>
      <w:bookmarkEnd w:id="302"/>
      <w:r>
        <w:rPr>
          <w:rFonts w:hint="eastAsia" w:ascii="宋体" w:hAnsi="宋体" w:cs="仿宋_GB2312"/>
          <w:color w:val="000000"/>
          <w:sz w:val="26"/>
          <w:szCs w:val="26"/>
        </w:rPr>
        <w:t>完善空间开发体制机制</w:t>
      </w:r>
    </w:p>
    <w:p>
      <w:pPr>
        <w:spacing w:afterLines="100"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建立空间规划体系，以主体功能区规划为基础统筹各类空间性规划，推动经济社会、土地利用、城乡建设、生态环保等规划“多规合一”，实现“一本规划、一张蓝图”。扎实推进全国“多规合一”省级试点，制定空间规划编制指引和技术规程，合理布局城镇、农业、生态三类空间，科学划定永久基本农田保护、城镇开发边界、生态环境保护三条红线，推动生产力布局、重大工程项目与空间结构紧密结合。合理控制国土空间开发强度。实施国土空间开发许可制度，开展国土资源调查评价与监测，建立资源环境承载能力监测预警机制。加强重点流域、重要矿山和海岸带、海岛的综合整治。</w:t>
      </w:r>
    </w:p>
    <w:p>
      <w:pPr>
        <w:spacing w:afterLines="100" w:line="456" w:lineRule="exact"/>
        <w:ind w:firstLine="525" w:firstLineChars="250"/>
        <w:rPr>
          <w:rFonts w:ascii="宋体" w:hAnsi="宋体" w:eastAsia="仿宋_GB2312" w:cs="仿宋_GB2312"/>
          <w:color w:val="000000"/>
          <w:sz w:val="32"/>
          <w:szCs w:val="32"/>
        </w:rPr>
      </w:pPr>
      <w:r>
        <w:rPr>
          <w:color w:val="000000"/>
        </w:rPr>
        <w:drawing>
          <wp:anchor distT="0" distB="0" distL="114300" distR="114300" simplePos="0" relativeHeight="251656192" behindDoc="1" locked="0" layoutInCell="1" allowOverlap="1">
            <wp:simplePos x="0" y="0"/>
            <wp:positionH relativeFrom="column">
              <wp:posOffset>-5715</wp:posOffset>
            </wp:positionH>
            <wp:positionV relativeFrom="paragraph">
              <wp:posOffset>-47625</wp:posOffset>
            </wp:positionV>
            <wp:extent cx="3895725" cy="3011170"/>
            <wp:effectExtent l="19050" t="0" r="9525" b="0"/>
            <wp:wrapNone/>
            <wp:docPr id="102" name="图片 102" descr="空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空间示意图"/>
                    <pic:cNvPicPr>
                      <a:picLocks noChangeAspect="1" noChangeArrowheads="1"/>
                    </pic:cNvPicPr>
                  </pic:nvPicPr>
                  <pic:blipFill>
                    <a:blip r:embed="rId16" cstate="print"/>
                    <a:srcRect/>
                    <a:stretch>
                      <a:fillRect/>
                    </a:stretch>
                  </pic:blipFill>
                  <pic:spPr>
                    <a:xfrm>
                      <a:off x="0" y="0"/>
                      <a:ext cx="3895725" cy="3011170"/>
                    </a:xfrm>
                    <a:prstGeom prst="rect">
                      <a:avLst/>
                    </a:prstGeom>
                    <a:noFill/>
                    <a:ln w="9525">
                      <a:noFill/>
                      <a:miter lim="800000"/>
                      <a:headEnd/>
                      <a:tailEnd/>
                    </a:ln>
                  </pic:spPr>
                </pic:pic>
              </a:graphicData>
            </a:graphic>
          </wp:anchor>
        </w:drawing>
      </w:r>
    </w:p>
    <w:p>
      <w:pPr>
        <w:spacing w:afterLines="100" w:line="580" w:lineRule="exact"/>
        <w:ind w:firstLine="640" w:firstLineChars="200"/>
        <w:rPr>
          <w:rFonts w:ascii="宋体" w:hAnsi="宋体" w:eastAsia="仿宋_GB2312" w:cs="仿宋_GB2312"/>
          <w:color w:val="000000"/>
          <w:sz w:val="32"/>
          <w:szCs w:val="32"/>
        </w:rPr>
      </w:pPr>
    </w:p>
    <w:p>
      <w:pPr>
        <w:spacing w:afterLines="100" w:line="580" w:lineRule="exact"/>
        <w:ind w:firstLine="640" w:firstLineChars="200"/>
        <w:rPr>
          <w:rFonts w:ascii="宋体" w:hAnsi="宋体" w:eastAsia="仿宋_GB2312" w:cs="仿宋_GB2312"/>
          <w:color w:val="000000"/>
          <w:sz w:val="32"/>
          <w:szCs w:val="32"/>
        </w:rPr>
      </w:pPr>
    </w:p>
    <w:p>
      <w:pPr>
        <w:spacing w:afterLines="100" w:line="580" w:lineRule="exact"/>
        <w:ind w:firstLine="640" w:firstLineChars="200"/>
        <w:rPr>
          <w:rFonts w:ascii="宋体" w:hAnsi="宋体" w:eastAsia="仿宋_GB2312" w:cs="仿宋_GB2312"/>
          <w:color w:val="000000"/>
          <w:sz w:val="32"/>
          <w:szCs w:val="32"/>
        </w:rPr>
      </w:pPr>
    </w:p>
    <w:p>
      <w:pPr>
        <w:spacing w:afterLines="100" w:line="580" w:lineRule="exact"/>
        <w:ind w:firstLine="640" w:firstLineChars="200"/>
        <w:rPr>
          <w:rFonts w:ascii="宋体" w:hAnsi="宋体" w:eastAsia="仿宋_GB2312" w:cs="仿宋_GB2312"/>
          <w:color w:val="000000"/>
          <w:sz w:val="32"/>
          <w:szCs w:val="32"/>
        </w:rPr>
      </w:pPr>
    </w:p>
    <w:p>
      <w:pPr>
        <w:spacing w:beforeLines="150" w:line="580" w:lineRule="exact"/>
        <w:jc w:val="center"/>
        <w:rPr>
          <w:rFonts w:ascii="黑体" w:hAnsi="黑体" w:eastAsia="黑体" w:cs="楷体_GB2312"/>
          <w:color w:val="000000"/>
          <w:sz w:val="20"/>
          <w:szCs w:val="24"/>
        </w:rPr>
      </w:pPr>
      <w:r>
        <w:rPr>
          <w:rFonts w:hint="eastAsia" w:ascii="黑体" w:hAnsi="黑体" w:eastAsia="黑体" w:cs="楷体_GB2312"/>
          <w:color w:val="000000"/>
          <w:sz w:val="20"/>
          <w:szCs w:val="24"/>
        </w:rPr>
        <w:t>图6：全区城镇、农业、生态三类空间功能区划示意图</w:t>
      </w:r>
      <w:bookmarkEnd w:id="301"/>
      <w:bookmarkStart w:id="303" w:name="_Toc428544954"/>
      <w:bookmarkStart w:id="304" w:name="_Toc437010641"/>
    </w:p>
    <w:p>
      <w:pPr>
        <w:spacing w:line="580" w:lineRule="exact"/>
        <w:jc w:val="center"/>
        <w:rPr>
          <w:rFonts w:ascii="黑体" w:hAnsi="黑体" w:eastAsia="黑体" w:cs="楷体_GB2312"/>
          <w:color w:val="000000"/>
          <w:sz w:val="20"/>
          <w:szCs w:val="24"/>
        </w:rPr>
      </w:pPr>
    </w:p>
    <w:bookmarkEnd w:id="303"/>
    <w:bookmarkEnd w:id="304"/>
    <w:p>
      <w:pPr>
        <w:pStyle w:val="2"/>
        <w:spacing w:beforeLines="50" w:afterLines="80"/>
        <w:rPr>
          <w:rFonts w:ascii="宋体" w:hAnsi="宋体" w:cs="黑体"/>
          <w:color w:val="000000"/>
          <w:sz w:val="26"/>
          <w:szCs w:val="26"/>
        </w:rPr>
      </w:pPr>
      <w:bookmarkStart w:id="305" w:name="_Toc422341035"/>
      <w:bookmarkStart w:id="306" w:name="_Toc437010643"/>
      <w:bookmarkStart w:id="307" w:name="_Toc438458624"/>
      <w:bookmarkStart w:id="308" w:name="_Toc428544955"/>
      <w:r>
        <w:rPr>
          <w:rFonts w:hint="eastAsia" w:ascii="宋体" w:hAnsi="宋体" w:cs="黑体"/>
          <w:color w:val="000000"/>
          <w:sz w:val="26"/>
          <w:szCs w:val="26"/>
        </w:rPr>
        <w:t>第九篇</w:t>
      </w:r>
      <w:r>
        <w:rPr>
          <w:rFonts w:ascii="宋体" w:hAnsi="宋体" w:cs="黑体"/>
          <w:color w:val="000000"/>
          <w:sz w:val="26"/>
          <w:szCs w:val="26"/>
        </w:rPr>
        <w:t xml:space="preserve">  </w:t>
      </w:r>
      <w:bookmarkEnd w:id="305"/>
      <w:r>
        <w:rPr>
          <w:rFonts w:hint="eastAsia" w:ascii="宋体" w:hAnsi="宋体" w:cs="黑体"/>
          <w:color w:val="000000"/>
          <w:sz w:val="26"/>
          <w:szCs w:val="26"/>
        </w:rPr>
        <w:t>统筹城乡  形成一体化</w:t>
      </w:r>
      <w:bookmarkEnd w:id="306"/>
      <w:bookmarkEnd w:id="307"/>
      <w:bookmarkEnd w:id="308"/>
      <w:r>
        <w:rPr>
          <w:rFonts w:hint="eastAsia" w:ascii="宋体" w:hAnsi="宋体" w:cs="黑体"/>
          <w:color w:val="000000"/>
          <w:sz w:val="26"/>
          <w:szCs w:val="26"/>
        </w:rPr>
        <w:t>发展新格局</w:t>
      </w:r>
    </w:p>
    <w:p>
      <w:pPr>
        <w:spacing w:line="438"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坚持以人为本、集约高效、绿色发展、四化同步、城乡一体、多元特色方针，提高新型城镇化水平，推进美丽广西乡村建设，推动城乡一体化发展。</w:t>
      </w:r>
    </w:p>
    <w:p>
      <w:pPr>
        <w:pStyle w:val="3"/>
        <w:spacing w:beforeLines="50" w:afterLines="50" w:line="438" w:lineRule="exact"/>
        <w:rPr>
          <w:rFonts w:ascii="宋体" w:hAnsi="宋体" w:cs="黑体"/>
          <w:b/>
          <w:color w:val="000000"/>
          <w:sz w:val="26"/>
          <w:szCs w:val="26"/>
        </w:rPr>
      </w:pPr>
      <w:bookmarkStart w:id="309" w:name="_Toc428544956"/>
      <w:bookmarkStart w:id="310" w:name="_Toc437010644"/>
      <w:bookmarkStart w:id="311" w:name="_Toc438458625"/>
      <w:bookmarkStart w:id="312" w:name="_Toc422341036"/>
      <w:r>
        <w:rPr>
          <w:rFonts w:hint="eastAsia" w:ascii="宋体" w:hAnsi="宋体" w:cs="黑体"/>
          <w:b/>
          <w:color w:val="000000"/>
          <w:sz w:val="26"/>
          <w:szCs w:val="26"/>
        </w:rPr>
        <w:t>第三十三章</w:t>
      </w:r>
      <w:r>
        <w:rPr>
          <w:rFonts w:ascii="宋体" w:hAnsi="宋体" w:cs="黑体"/>
          <w:b/>
          <w:color w:val="000000"/>
          <w:sz w:val="26"/>
          <w:szCs w:val="26"/>
        </w:rPr>
        <w:t xml:space="preserve"> </w:t>
      </w:r>
      <w:r>
        <w:rPr>
          <w:rFonts w:hint="eastAsia" w:ascii="宋体" w:hAnsi="宋体" w:cs="黑体"/>
          <w:b/>
          <w:color w:val="000000"/>
          <w:sz w:val="26"/>
          <w:szCs w:val="26"/>
        </w:rPr>
        <w:t xml:space="preserve"> 积极稳妥推进新型城镇化</w:t>
      </w:r>
      <w:bookmarkEnd w:id="309"/>
      <w:bookmarkEnd w:id="310"/>
      <w:bookmarkEnd w:id="311"/>
    </w:p>
    <w:bookmarkEnd w:id="312"/>
    <w:p>
      <w:pPr>
        <w:spacing w:line="438"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深入实施新型城镇化规划，加快转变城镇化发展方式，全面提升城镇化质量和水平。</w:t>
      </w:r>
    </w:p>
    <w:p>
      <w:pPr>
        <w:pStyle w:val="4"/>
        <w:spacing w:beforeLines="50" w:afterLines="50" w:line="438" w:lineRule="exact"/>
        <w:rPr>
          <w:rFonts w:ascii="宋体" w:hAnsi="宋体" w:cs="仿宋_GB2312"/>
          <w:color w:val="000000"/>
          <w:sz w:val="26"/>
          <w:szCs w:val="26"/>
        </w:rPr>
      </w:pPr>
      <w:bookmarkStart w:id="313" w:name="_Toc437010645"/>
      <w:bookmarkStart w:id="314" w:name="_Toc422341037"/>
      <w:bookmarkStart w:id="315" w:name="_Toc428544957"/>
      <w:r>
        <w:rPr>
          <w:rFonts w:hint="eastAsia" w:ascii="宋体" w:hAnsi="宋体" w:cs="仿宋_GB2312"/>
          <w:color w:val="000000"/>
          <w:sz w:val="26"/>
          <w:szCs w:val="26"/>
        </w:rPr>
        <w:t>第一节</w:t>
      </w:r>
      <w:r>
        <w:rPr>
          <w:rFonts w:ascii="宋体" w:hAnsi="宋体" w:cs="仿宋_GB2312"/>
          <w:color w:val="000000"/>
          <w:sz w:val="26"/>
          <w:szCs w:val="26"/>
        </w:rPr>
        <w:t xml:space="preserve"> </w:t>
      </w:r>
      <w:r>
        <w:rPr>
          <w:rFonts w:hint="eastAsia" w:ascii="宋体" w:hAnsi="宋体" w:cs="仿宋_GB2312"/>
          <w:color w:val="000000"/>
          <w:sz w:val="26"/>
          <w:szCs w:val="26"/>
        </w:rPr>
        <w:t xml:space="preserve"> 有序推进农民工市民化</w:t>
      </w:r>
      <w:bookmarkEnd w:id="313"/>
    </w:p>
    <w:bookmarkEnd w:id="314"/>
    <w:bookmarkEnd w:id="315"/>
    <w:p>
      <w:pPr>
        <w:spacing w:line="438"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把促进有能力在城镇稳定就业和生活的农民工市民化作为首要任务，深入实施国家“三个1亿人”方案，实现新型城镇化规划目标任务。深化户籍制度改革，因地制宜制定农业转移人口落户标准和办法，重点解决进城时间长、就业能力强的人群落户城镇，提高高等学校和中高职院校毕业生、留学回国人员等常住人口的城镇落户率。推行专业技术职称、技能等级等同大城市落户挂钩做法。健全城乡统一的户口登记管理制度，以及教育、就业、卫生、社保、住房等基本公共服务提供机制，以实施居住证制度为抓手，推动城镇常住人口基本公共服务均等化。建立健全政府主导、多方参与、成本共担、协同推进的农业转移人口市民化成本分担机制。</w:t>
      </w:r>
    </w:p>
    <w:p>
      <w:pPr>
        <w:pStyle w:val="4"/>
        <w:spacing w:beforeLines="50" w:afterLines="50"/>
        <w:rPr>
          <w:rFonts w:ascii="宋体" w:hAnsi="宋体" w:cs="仿宋_GB2312"/>
          <w:color w:val="000000"/>
          <w:sz w:val="26"/>
          <w:szCs w:val="26"/>
        </w:rPr>
      </w:pPr>
      <w:bookmarkStart w:id="316" w:name="_Toc437010646"/>
      <w:bookmarkStart w:id="317" w:name="_Toc428544958"/>
      <w:r>
        <w:rPr>
          <w:rFonts w:hint="eastAsia" w:ascii="宋体" w:hAnsi="宋体" w:cs="仿宋_GB2312"/>
          <w:color w:val="000000"/>
          <w:sz w:val="26"/>
          <w:szCs w:val="26"/>
        </w:rPr>
        <w:t>第二节  推动形成城镇群和各类城镇协调发展</w:t>
      </w:r>
      <w:bookmarkEnd w:id="316"/>
    </w:p>
    <w:bookmarkEnd w:id="317"/>
    <w:p>
      <w:pPr>
        <w:spacing w:afterLines="50"/>
        <w:ind w:firstLine="520" w:firstLineChars="200"/>
        <w:rPr>
          <w:rFonts w:ascii="宋体" w:hAnsi="宋体" w:eastAsia="仿宋_GB2312" w:cs="仿宋_GB2312"/>
          <w:color w:val="000000"/>
          <w:spacing w:val="4"/>
          <w:sz w:val="26"/>
          <w:szCs w:val="26"/>
        </w:rPr>
      </w:pPr>
      <w:r>
        <w:rPr>
          <w:rFonts w:hint="eastAsia" w:ascii="宋体" w:hAnsi="宋体" w:eastAsia="仿宋_GB2312" w:cs="仿宋_GB2312"/>
          <w:color w:val="000000"/>
          <w:sz w:val="26"/>
          <w:szCs w:val="26"/>
        </w:rPr>
        <w:t>以</w:t>
      </w:r>
      <w:r>
        <w:rPr>
          <w:rFonts w:hint="eastAsia" w:ascii="宋体" w:hAnsi="宋体" w:eastAsia="仿宋_GB2312" w:cs="仿宋_GB2312"/>
          <w:color w:val="000000"/>
          <w:spacing w:val="4"/>
          <w:sz w:val="26"/>
          <w:szCs w:val="26"/>
        </w:rPr>
        <w:t>城镇群为主体形态推进新型城镇化，依托沿海沿江沿交通干线，发挥中心城市辐射带动作用，加快发展北部湾城市群和桂中、桂北、桂东南城镇群，承载全区80%左右的城镇人口，积极发展南崇、右江河谷和沿边城镇带。推动桂东南城镇群与珠三角城市群融合发展。实施中心城市提升工程，培育发展南宁、柳州、桂林都市经济圈，推动产业升级和城市转型，提升辐射带动能力和国际化水平。加快设区城市发展，建成重要的区域性中心城市。实施大县城战略，推动县城向城市转型，将一批基础条件好、发展潜力大的县城培育成为中小城市。实施百镇建设示范工程，培育一批人口</w:t>
      </w:r>
      <w:r>
        <w:rPr>
          <w:rFonts w:hint="eastAsia" w:ascii="宋体" w:hAnsi="宋体" w:eastAsia="仿宋_GB2312" w:cs="宋体"/>
          <w:color w:val="000000"/>
          <w:spacing w:val="4"/>
          <w:sz w:val="26"/>
          <w:szCs w:val="26"/>
        </w:rPr>
        <w:t>5</w:t>
      </w:r>
      <w:r>
        <w:rPr>
          <w:rFonts w:hint="eastAsia" w:ascii="宋体" w:hAnsi="宋体" w:eastAsia="仿宋_GB2312" w:cs="仿宋_GB2312"/>
          <w:color w:val="000000"/>
          <w:spacing w:val="4"/>
          <w:sz w:val="26"/>
          <w:szCs w:val="26"/>
        </w:rPr>
        <w:t>万至</w:t>
      </w:r>
      <w:r>
        <w:rPr>
          <w:rFonts w:hint="eastAsia" w:ascii="宋体" w:hAnsi="宋体" w:eastAsia="仿宋_GB2312" w:cs="宋体"/>
          <w:color w:val="000000"/>
          <w:spacing w:val="4"/>
          <w:sz w:val="26"/>
          <w:szCs w:val="26"/>
        </w:rPr>
        <w:t>10</w:t>
      </w:r>
      <w:r>
        <w:rPr>
          <w:rFonts w:hint="eastAsia" w:ascii="宋体" w:hAnsi="宋体" w:eastAsia="仿宋_GB2312" w:cs="仿宋_GB2312"/>
          <w:color w:val="000000"/>
          <w:spacing w:val="4"/>
          <w:sz w:val="26"/>
          <w:szCs w:val="26"/>
        </w:rPr>
        <w:t>万以上的重点镇，向特色小城市发展。</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专栏23  四大城镇群发展方向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8" w:hRule="atLeast"/>
          <w:jc w:val="center"/>
        </w:trPr>
        <w:tc>
          <w:tcPr>
            <w:tcW w:w="6237" w:type="dxa"/>
            <w:vAlign w:val="center"/>
          </w:tcPr>
          <w:p>
            <w:pPr>
              <w:spacing w:line="300" w:lineRule="exact"/>
              <w:rPr>
                <w:rFonts w:ascii="宋体" w:hAnsi="宋体" w:cs="仿宋_GB2312"/>
                <w:color w:val="000000"/>
                <w:sz w:val="18"/>
                <w:szCs w:val="18"/>
              </w:rPr>
            </w:pPr>
            <w:r>
              <w:rPr>
                <w:rFonts w:hint="eastAsia" w:ascii="宋体" w:hAnsi="宋体" w:eastAsia="黑体" w:cs="仿宋_GB2312"/>
                <w:color w:val="000000"/>
                <w:sz w:val="18"/>
                <w:szCs w:val="18"/>
              </w:rPr>
              <w:t>北部湾城市群：</w:t>
            </w:r>
            <w:r>
              <w:rPr>
                <w:rFonts w:hint="eastAsia" w:ascii="宋体" w:hAnsi="宋体" w:cs="仿宋_GB2312"/>
                <w:color w:val="000000"/>
                <w:sz w:val="18"/>
                <w:szCs w:val="18"/>
              </w:rPr>
              <w:t>以南宁为核心，促进北海、钦州、防城港、玉林、崇左同城化，打造面向东盟开放合作的重要门户、服务西南中南开放发展新的战略支点核心引擎。</w:t>
            </w:r>
          </w:p>
          <w:p>
            <w:pPr>
              <w:spacing w:line="300" w:lineRule="exact"/>
              <w:rPr>
                <w:rFonts w:ascii="宋体" w:hAnsi="宋体" w:cs="仿宋_GB2312"/>
                <w:color w:val="000000"/>
                <w:sz w:val="18"/>
                <w:szCs w:val="18"/>
              </w:rPr>
            </w:pPr>
            <w:r>
              <w:rPr>
                <w:rFonts w:hint="eastAsia" w:ascii="宋体" w:hAnsi="宋体" w:eastAsia="黑体" w:cs="仿宋_GB2312"/>
                <w:color w:val="000000"/>
                <w:sz w:val="18"/>
                <w:szCs w:val="18"/>
              </w:rPr>
              <w:t>桂中城镇群：</w:t>
            </w:r>
            <w:r>
              <w:rPr>
                <w:rFonts w:hint="eastAsia" w:ascii="宋体" w:hAnsi="宋体" w:cs="仿宋_GB2312"/>
                <w:color w:val="000000"/>
                <w:sz w:val="18"/>
                <w:szCs w:val="18"/>
              </w:rPr>
              <w:t>以柳州为核心，辐射带动来宾、河池（宜州）一体化发展，打造西南地区先进制造业中心和现代服务业基地。</w:t>
            </w:r>
          </w:p>
          <w:p>
            <w:pPr>
              <w:spacing w:line="300" w:lineRule="exact"/>
              <w:rPr>
                <w:rFonts w:ascii="宋体" w:hAnsi="宋体" w:cs="仿宋_GB2312"/>
                <w:color w:val="000000"/>
                <w:sz w:val="18"/>
                <w:szCs w:val="18"/>
              </w:rPr>
            </w:pPr>
            <w:r>
              <w:rPr>
                <w:rFonts w:hint="eastAsia" w:ascii="宋体" w:hAnsi="宋体" w:eastAsia="黑体" w:cs="仿宋_GB2312"/>
                <w:color w:val="000000"/>
                <w:sz w:val="18"/>
                <w:szCs w:val="18"/>
              </w:rPr>
              <w:t>桂东南城镇群：</w:t>
            </w:r>
            <w:r>
              <w:rPr>
                <w:rFonts w:hint="eastAsia" w:ascii="宋体" w:hAnsi="宋体" w:cs="仿宋_GB2312"/>
                <w:color w:val="000000"/>
                <w:sz w:val="18"/>
                <w:szCs w:val="18"/>
              </w:rPr>
              <w:t>以梧州为核心，促进玉林、贵港一体化发展，打造全国承接产业转移示范区和桂粤合作发展先行区。</w:t>
            </w:r>
          </w:p>
          <w:p>
            <w:pPr>
              <w:spacing w:line="300" w:lineRule="exact"/>
              <w:rPr>
                <w:rFonts w:ascii="宋体" w:hAnsi="宋体" w:cs="仿宋_GB2312"/>
                <w:color w:val="000000"/>
                <w:szCs w:val="21"/>
              </w:rPr>
            </w:pPr>
            <w:r>
              <w:rPr>
                <w:rFonts w:hint="eastAsia" w:ascii="宋体" w:hAnsi="宋体" w:eastAsia="黑体" w:cs="仿宋_GB2312"/>
                <w:color w:val="000000"/>
                <w:sz w:val="18"/>
                <w:szCs w:val="18"/>
              </w:rPr>
              <w:t>桂北城镇群：</w:t>
            </w:r>
            <w:r>
              <w:rPr>
                <w:rFonts w:hint="eastAsia" w:ascii="宋体" w:hAnsi="宋体" w:cs="仿宋_GB2312"/>
                <w:color w:val="000000"/>
                <w:sz w:val="18"/>
                <w:szCs w:val="18"/>
              </w:rPr>
              <w:t>以桂林为核心，整合桂林、贺州旅游资源，打造世界一流旅游目的地、全国旅游创新发展先行区。</w:t>
            </w:r>
          </w:p>
        </w:tc>
      </w:tr>
    </w:tbl>
    <w:p>
      <w:pPr>
        <w:spacing w:beforeLines="20" w:line="300" w:lineRule="exact"/>
        <w:jc w:val="center"/>
        <w:rPr>
          <w:rFonts w:ascii="黑体" w:hAnsi="黑体" w:eastAsia="黑体" w:cs="楷体_GB2312"/>
          <w:color w:val="000000"/>
          <w:sz w:val="20"/>
          <w:szCs w:val="24"/>
        </w:rPr>
      </w:pPr>
      <w:bookmarkStart w:id="318" w:name="_Toc422341043"/>
      <w:bookmarkStart w:id="319" w:name="_Toc428544960"/>
      <w:r>
        <w:rPr>
          <w:color w:val="000000"/>
          <w:sz w:val="16"/>
        </w:rPr>
        <w:drawing>
          <wp:anchor distT="0" distB="0" distL="114300" distR="114300" simplePos="0" relativeHeight="251661312" behindDoc="1" locked="0" layoutInCell="1" allowOverlap="1">
            <wp:simplePos x="0" y="0"/>
            <wp:positionH relativeFrom="column">
              <wp:posOffset>20320</wp:posOffset>
            </wp:positionH>
            <wp:positionV relativeFrom="paragraph">
              <wp:posOffset>17145</wp:posOffset>
            </wp:positionV>
            <wp:extent cx="3903345" cy="2879725"/>
            <wp:effectExtent l="19050" t="0" r="1905" b="0"/>
            <wp:wrapSquare wrapText="bothSides"/>
            <wp:docPr id="118" name="图片 118" descr="城镇群和城镇体系示意图2016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城镇群和城镇体系示意图20160125"/>
                    <pic:cNvPicPr>
                      <a:picLocks noChangeAspect="1" noChangeArrowheads="1"/>
                    </pic:cNvPicPr>
                  </pic:nvPicPr>
                  <pic:blipFill>
                    <a:blip r:embed="rId17" cstate="print"/>
                    <a:srcRect/>
                    <a:stretch>
                      <a:fillRect/>
                    </a:stretch>
                  </pic:blipFill>
                  <pic:spPr>
                    <a:xfrm>
                      <a:off x="0" y="0"/>
                      <a:ext cx="3903345" cy="2879725"/>
                    </a:xfrm>
                    <a:prstGeom prst="rect">
                      <a:avLst/>
                    </a:prstGeom>
                    <a:noFill/>
                    <a:ln w="9525">
                      <a:noFill/>
                      <a:miter lim="800000"/>
                      <a:headEnd/>
                      <a:tailEnd/>
                    </a:ln>
                  </pic:spPr>
                </pic:pic>
              </a:graphicData>
            </a:graphic>
          </wp:anchor>
        </w:drawing>
      </w:r>
      <w:bookmarkStart w:id="320" w:name="_Toc437010647"/>
      <w:r>
        <w:rPr>
          <w:rFonts w:hint="eastAsia" w:ascii="黑体" w:hAnsi="黑体" w:eastAsia="黑体" w:cs="楷体_GB2312"/>
          <w:color w:val="000000"/>
          <w:sz w:val="20"/>
          <w:szCs w:val="24"/>
        </w:rPr>
        <w:t>图7：城镇群和城镇体系示意图</w:t>
      </w:r>
    </w:p>
    <w:p>
      <w:pPr>
        <w:pStyle w:val="4"/>
        <w:spacing w:beforeLines="80" w:afterLines="50" w:line="456" w:lineRule="exact"/>
        <w:rPr>
          <w:rFonts w:ascii="宋体" w:hAnsi="宋体" w:cs="仿宋_GB2312"/>
          <w:color w:val="000000"/>
          <w:sz w:val="26"/>
          <w:szCs w:val="26"/>
        </w:rPr>
      </w:pPr>
      <w:r>
        <w:rPr>
          <w:rFonts w:hint="eastAsia" w:ascii="宋体" w:hAnsi="宋体" w:cs="仿宋_GB2312"/>
          <w:color w:val="000000"/>
          <w:sz w:val="26"/>
          <w:szCs w:val="26"/>
        </w:rPr>
        <w:t xml:space="preserve">第三节 </w:t>
      </w:r>
      <w:r>
        <w:rPr>
          <w:rFonts w:ascii="宋体" w:hAnsi="宋体" w:cs="仿宋_GB2312"/>
          <w:color w:val="000000"/>
          <w:sz w:val="26"/>
          <w:szCs w:val="26"/>
        </w:rPr>
        <w:t xml:space="preserve"> </w:t>
      </w:r>
      <w:r>
        <w:rPr>
          <w:rFonts w:hint="eastAsia" w:ascii="宋体" w:hAnsi="宋体" w:cs="仿宋_GB2312"/>
          <w:color w:val="000000"/>
          <w:sz w:val="26"/>
          <w:szCs w:val="26"/>
        </w:rPr>
        <w:t>加快建设新型城镇</w:t>
      </w:r>
      <w:bookmarkEnd w:id="318"/>
      <w:bookmarkEnd w:id="319"/>
      <w:bookmarkEnd w:id="320"/>
    </w:p>
    <w:p>
      <w:pPr>
        <w:spacing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统筹城镇规划、建设和管理，以新理念建设新型城镇，提升城镇品质和形象。</w:t>
      </w:r>
      <w:bookmarkStart w:id="321" w:name="_Toc384984847"/>
      <w:r>
        <w:rPr>
          <w:rFonts w:hint="eastAsia" w:ascii="宋体" w:hAnsi="宋体" w:eastAsia="仿宋_GB2312" w:cs="仿宋_GB2312"/>
          <w:color w:val="000000"/>
          <w:sz w:val="26"/>
          <w:szCs w:val="26"/>
        </w:rPr>
        <w:t>树立精明增长、紧凑城镇理念，合理确定建设规模，科学划定开发边界，鼓励多中心、组团式发展，提高建成区人口密度，建设集约城镇。加快城镇产业优化升级，发展低能耗、低排放的绿色城镇产业，依托山水脉络合理布局城镇绿地空间，建设绿色城镇。促进城镇建设与信息技术融合发展，推动规划建设和管理信息化，建设智慧城镇。保护和传承历史地域文化，推进历史文化名城、名镇、名村和街区建设，提升城镇文化品位，建设人文城镇。突出沿海沿江沿边和民族、乡土特色，推进城镇建设与独特的自然地理、多彩的民族风情和秀美的山水风光融为一体，建设特色城镇。加强城镇精细化管理，确保城镇安全。积极推进城市新区建设，支持南宁五象新区创建国家级新区。</w:t>
      </w:r>
    </w:p>
    <w:p>
      <w:pPr>
        <w:pStyle w:val="4"/>
        <w:spacing w:beforeLines="50" w:afterLines="50" w:line="456" w:lineRule="exact"/>
        <w:rPr>
          <w:rFonts w:ascii="宋体" w:hAnsi="宋体" w:cs="仿宋_GB2312"/>
          <w:color w:val="000000"/>
          <w:sz w:val="26"/>
          <w:szCs w:val="26"/>
        </w:rPr>
      </w:pPr>
      <w:r>
        <w:rPr>
          <w:rFonts w:hint="eastAsia" w:ascii="宋体" w:hAnsi="宋体" w:cs="仿宋_GB2312"/>
          <w:color w:val="000000"/>
          <w:sz w:val="26"/>
          <w:szCs w:val="26"/>
        </w:rPr>
        <w:t>第四节  加强城镇基础设施建设</w:t>
      </w:r>
    </w:p>
    <w:p>
      <w:pPr>
        <w:spacing w:afterLines="50"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统筹城镇地下和地上基础设施建设，构建设施配套、功能完备的城镇基础设施网络。实施城镇市政设施和公共服务设施提升完善工程，加强城市轨道交通、公共停车场、加油站、电动汽车充电桩等公共交通设施建设，提升中心城市综合交通枢纽便捷高效换乘水平，规划建设城郊铁路。加强城市地下综合管网、无障碍设施等建设，城市新区配套建设地下综合管廊，提升地下市政设施建设水平。加强城市排涝与调蓄、公园绿地等生态设施建设，打造海绵城市。加强城镇物流配送、便民超市、平价商店、农贸市场等生活设施建设，完善服务网络。加快城镇棚户区、老旧小区和危房改造，2020年基本完成现有棚户区、城中村和危房改造，棚户区改造政策覆盖全部重点镇。支持贺州、来宾、崇左等市市政设施和公共服务设施建设。加强建筑市场监管，提高建筑标准和工程质量，推进城镇绿色发展。</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宋体" w:hAnsi="宋体" w:eastAsia="黑体" w:cs="仿宋_GB2312"/>
                <w:color w:val="000000"/>
                <w:szCs w:val="28"/>
              </w:rPr>
            </w:pPr>
            <w:r>
              <w:rPr>
                <w:rFonts w:hint="eastAsia" w:ascii="黑体" w:hAnsi="黑体" w:eastAsia="黑体" w:cs="仿宋_GB2312"/>
                <w:color w:val="000000"/>
                <w:szCs w:val="24"/>
              </w:rPr>
              <w:t>专栏24  新型城镇重点工程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8" w:hRule="atLeast"/>
          <w:jc w:val="center"/>
        </w:trPr>
        <w:tc>
          <w:tcPr>
            <w:tcW w:w="6237" w:type="dxa"/>
          </w:tcPr>
          <w:p>
            <w:pPr>
              <w:spacing w:line="300" w:lineRule="exact"/>
              <w:rPr>
                <w:rFonts w:ascii="宋体" w:hAnsi="宋体" w:cs="仿宋_GB2312"/>
                <w:color w:val="000000"/>
                <w:sz w:val="18"/>
                <w:szCs w:val="21"/>
              </w:rPr>
            </w:pPr>
            <w:r>
              <w:rPr>
                <w:rFonts w:hint="eastAsia" w:ascii="黑体" w:hAnsi="黑体" w:eastAsia="黑体"/>
                <w:color w:val="000000"/>
                <w:sz w:val="18"/>
                <w:szCs w:val="21"/>
              </w:rPr>
              <w:t>国家新型城镇化综合试点：</w:t>
            </w:r>
            <w:r>
              <w:rPr>
                <w:rFonts w:hint="eastAsia" w:ascii="宋体" w:hAnsi="宋体" w:cs="仿宋_GB2312"/>
                <w:color w:val="000000"/>
                <w:sz w:val="18"/>
                <w:szCs w:val="21"/>
              </w:rPr>
              <w:t>推进柳州、来宾市和全州、平果、北流市县新型城镇化综合试点。</w:t>
            </w:r>
          </w:p>
          <w:p>
            <w:pPr>
              <w:spacing w:line="300" w:lineRule="exact"/>
              <w:rPr>
                <w:rFonts w:ascii="宋体" w:hAnsi="宋体" w:cs="仿宋_GB2312"/>
                <w:color w:val="000000"/>
                <w:sz w:val="18"/>
                <w:szCs w:val="21"/>
              </w:rPr>
            </w:pPr>
            <w:r>
              <w:rPr>
                <w:rFonts w:hint="eastAsia" w:ascii="黑体" w:hAnsi="黑体" w:eastAsia="黑体"/>
                <w:color w:val="000000"/>
                <w:sz w:val="18"/>
                <w:szCs w:val="21"/>
              </w:rPr>
              <w:t>城市新区：</w:t>
            </w:r>
            <w:r>
              <w:rPr>
                <w:rFonts w:hint="eastAsia" w:ascii="宋体" w:hAnsi="宋体" w:cs="仿宋_GB2312"/>
                <w:color w:val="000000"/>
                <w:sz w:val="18"/>
                <w:szCs w:val="21"/>
              </w:rPr>
              <w:t>建设南宁五象新区、柳州柳东新区、桂林临桂新区、梧州苍海新区、北海廉州湾新城、防城港海湾新区、钦州滨海新城、贵港西江新城、玉林玉东和龙港新区、百色百东新区、贺州生态新城、河池宜州新区、来宾城南新区、崇左城南新区等。</w:t>
            </w:r>
          </w:p>
          <w:p>
            <w:pPr>
              <w:spacing w:line="300" w:lineRule="exact"/>
              <w:rPr>
                <w:rFonts w:ascii="宋体" w:hAnsi="宋体" w:cs="仿宋_GB2312"/>
                <w:color w:val="000000"/>
                <w:szCs w:val="21"/>
              </w:rPr>
            </w:pPr>
            <w:r>
              <w:rPr>
                <w:rFonts w:hint="eastAsia" w:ascii="黑体" w:hAnsi="黑体" w:eastAsia="黑体"/>
                <w:color w:val="000000"/>
                <w:sz w:val="18"/>
                <w:szCs w:val="21"/>
              </w:rPr>
              <w:t>海绵城市：</w:t>
            </w:r>
            <w:r>
              <w:rPr>
                <w:rFonts w:hint="eastAsia" w:ascii="宋体" w:hAnsi="宋体" w:cs="仿宋_GB2312"/>
                <w:color w:val="000000"/>
                <w:sz w:val="18"/>
                <w:szCs w:val="21"/>
              </w:rPr>
              <w:t>建设南宁、柳州、桂林、梧州、玉林、百色等海绵城市</w:t>
            </w:r>
            <w:r>
              <w:rPr>
                <w:rFonts w:hint="eastAsia" w:ascii="宋体" w:hAnsi="宋体" w:cs="仿宋_GB2312"/>
                <w:color w:val="000000"/>
                <w:szCs w:val="21"/>
              </w:rPr>
              <w:t>。</w:t>
            </w:r>
          </w:p>
        </w:tc>
      </w:tr>
      <w:bookmarkEnd w:id="321"/>
    </w:tbl>
    <w:p>
      <w:pPr>
        <w:pStyle w:val="3"/>
        <w:spacing w:beforeLines="50" w:afterLines="50"/>
        <w:rPr>
          <w:rFonts w:ascii="宋体" w:hAnsi="宋体" w:cs="黑体"/>
          <w:b/>
          <w:color w:val="000000"/>
          <w:sz w:val="26"/>
          <w:szCs w:val="26"/>
        </w:rPr>
      </w:pPr>
      <w:bookmarkStart w:id="322" w:name="_Toc428544962"/>
      <w:bookmarkStart w:id="323" w:name="_Toc437010648"/>
      <w:bookmarkStart w:id="324" w:name="_Toc438458626"/>
      <w:r>
        <w:rPr>
          <w:rFonts w:hint="eastAsia" w:ascii="宋体" w:hAnsi="宋体" w:cs="黑体"/>
          <w:b/>
          <w:color w:val="000000"/>
          <w:sz w:val="26"/>
          <w:szCs w:val="26"/>
        </w:rPr>
        <w:t>第三十四章  加快建设美丽乡村</w:t>
      </w:r>
      <w:bookmarkEnd w:id="322"/>
      <w:bookmarkEnd w:id="323"/>
      <w:bookmarkEnd w:id="324"/>
    </w:p>
    <w:p>
      <w:pPr>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加强农村基础设施和公共服务设施建设，推进农村人居环境整治，打造田园牧歌、青山绿水、温馨和谐的美丽乡村。</w:t>
      </w:r>
    </w:p>
    <w:p>
      <w:pPr>
        <w:pStyle w:val="4"/>
        <w:spacing w:beforeLines="50" w:afterLines="50"/>
        <w:rPr>
          <w:rFonts w:ascii="宋体" w:hAnsi="宋体"/>
          <w:color w:val="000000"/>
          <w:sz w:val="26"/>
          <w:szCs w:val="26"/>
        </w:rPr>
      </w:pPr>
      <w:bookmarkStart w:id="325" w:name="_Toc428544965"/>
      <w:bookmarkStart w:id="326" w:name="_Toc422341027"/>
      <w:bookmarkStart w:id="327" w:name="_Toc437010649"/>
      <w:r>
        <w:rPr>
          <w:rFonts w:hint="eastAsia" w:ascii="宋体" w:hAnsi="宋体"/>
          <w:color w:val="000000"/>
          <w:sz w:val="26"/>
          <w:szCs w:val="26"/>
        </w:rPr>
        <w:t>第一节  深入推进美丽广西乡村</w:t>
      </w:r>
      <w:bookmarkEnd w:id="325"/>
      <w:bookmarkEnd w:id="326"/>
      <w:r>
        <w:rPr>
          <w:rFonts w:hint="eastAsia" w:ascii="宋体" w:hAnsi="宋体"/>
          <w:color w:val="000000"/>
          <w:sz w:val="26"/>
          <w:szCs w:val="26"/>
        </w:rPr>
        <w:t>建设</w:t>
      </w:r>
      <w:bookmarkEnd w:id="327"/>
    </w:p>
    <w:p>
      <w:pPr>
        <w:spacing w:line="45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深入实施美丽广西乡村建设重大活动规划纲要，在巩固提升清洁乡村、生态乡村建设基础上，持续推进宜居乡村、幸福乡村建设，实现农村环境优美、农民生活幸福、乡村和睦安宁。推进乡土特色建设，全面提高农村基础设施和公共服务设施水平，进一步提升农村人居环境质量。推进产业富民、服务惠民、基础便民专项活动，实现生产发展、农民富裕。推进乡村建设规划基本覆盖，合理安排村镇建设、农田保护、村落分布、生态涵养等空间布局，提高村落规划和民居设计水平，建设新型农村社区。深入开展环境秀美、生活甜美、乡村和美专项活动，以培养新型农民、优良家风和文明新风为重点，扎实推进文明村镇和绿色村屯创建，提升农民文明素质和农村文明程度。</w:t>
      </w:r>
    </w:p>
    <w:p>
      <w:pPr>
        <w:pStyle w:val="4"/>
        <w:spacing w:beforeLines="50" w:afterLines="50" w:line="450" w:lineRule="exact"/>
        <w:rPr>
          <w:rFonts w:ascii="宋体" w:hAnsi="宋体"/>
          <w:color w:val="000000"/>
          <w:sz w:val="26"/>
          <w:szCs w:val="26"/>
        </w:rPr>
      </w:pPr>
      <w:bookmarkStart w:id="328" w:name="_Toc428544963"/>
      <w:bookmarkStart w:id="329" w:name="_Toc437010650"/>
      <w:r>
        <w:rPr>
          <w:rFonts w:hint="eastAsia" w:ascii="宋体" w:hAnsi="宋体"/>
          <w:color w:val="000000"/>
          <w:sz w:val="26"/>
          <w:szCs w:val="26"/>
        </w:rPr>
        <w:t>第二节  加强农村基础设施和公共服务设施建设</w:t>
      </w:r>
      <w:bookmarkEnd w:id="328"/>
      <w:bookmarkEnd w:id="329"/>
    </w:p>
    <w:p>
      <w:pPr>
        <w:spacing w:line="45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统筹农村道路硬化、供水排水、绿化美化、环境卫生、物流配送等建设，加快农村电网、宽带、危房、村庄照明等改造，完善农林场基础设施，提高农村路网密度和等级，以及农村安全饮用水水平，消除零散居住农户无电现象，基本完成农村危房改造，少数民族村寨等火灾隐患整治能力增强，农村现代流通网络和智慧乡村基本建成。加强农村教育、卫生、科技、文化、体育等公共服务设施建设，实现村村有涵盖文化娱乐、体育场所、卫生设施、便民服务中心等的村级综合服务平台，提升农村公共服务水平，与城镇差距明显缩小。</w:t>
      </w:r>
    </w:p>
    <w:p>
      <w:pPr>
        <w:pStyle w:val="3"/>
        <w:spacing w:beforeLines="50" w:afterLines="50" w:line="450" w:lineRule="exact"/>
        <w:rPr>
          <w:rFonts w:ascii="宋体" w:hAnsi="宋体" w:cs="黑体"/>
          <w:b/>
          <w:color w:val="000000"/>
          <w:sz w:val="26"/>
          <w:szCs w:val="26"/>
        </w:rPr>
      </w:pPr>
      <w:bookmarkStart w:id="330" w:name="_Toc437010652"/>
      <w:bookmarkStart w:id="331" w:name="_Toc438458627"/>
      <w:bookmarkStart w:id="332" w:name="_Toc428544966"/>
      <w:r>
        <w:rPr>
          <w:rFonts w:hint="eastAsia" w:ascii="宋体" w:hAnsi="宋体" w:cs="黑体"/>
          <w:b/>
          <w:color w:val="000000"/>
          <w:sz w:val="26"/>
          <w:szCs w:val="26"/>
        </w:rPr>
        <w:t>第三十五章  促进城乡发展一体化</w:t>
      </w:r>
      <w:bookmarkEnd w:id="330"/>
      <w:bookmarkEnd w:id="331"/>
      <w:bookmarkEnd w:id="332"/>
    </w:p>
    <w:p>
      <w:pPr>
        <w:spacing w:line="444"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推动新型城镇化与美丽乡村建设协调发展，构建以工促农、以城带乡、工农互惠、城乡一体的新型工农、城乡关系。建立规范高效的城乡规划管理体制，促进城乡基础设施、公共设施、产业发展、生态环境、社会管理</w:t>
      </w:r>
      <w:r>
        <w:rPr>
          <w:rFonts w:hint="eastAsia" w:ascii="宋体" w:hAnsi="宋体" w:eastAsia="仿宋_GB2312"/>
          <w:color w:val="000000"/>
          <w:spacing w:val="2"/>
          <w:sz w:val="26"/>
          <w:szCs w:val="26"/>
        </w:rPr>
        <w:t>一体化设计。推动城镇市政设施向农村延伸、公共服务向农村覆盖，促进城乡基础设施互联互通、共建共享。推进城乡社会保障制度衔接，建成覆盖城乡居民、统一均衡的社会保障体系。建立健全城乡统一的建设用地、人力资源、科技金融等要素市场，促进人才、技术、资金等生产要素更多投向农业农村。发挥南宁、玉林市统筹城乡综合配套改革试点示范作用，推动城乡一体化发展。</w:t>
      </w:r>
    </w:p>
    <w:p>
      <w:pPr>
        <w:pStyle w:val="3"/>
        <w:spacing w:beforeLines="50" w:afterLines="50" w:line="444" w:lineRule="exact"/>
        <w:rPr>
          <w:rFonts w:ascii="宋体" w:hAnsi="宋体" w:cs="黑体"/>
          <w:b/>
          <w:color w:val="000000"/>
          <w:sz w:val="26"/>
          <w:szCs w:val="26"/>
        </w:rPr>
      </w:pPr>
      <w:bookmarkStart w:id="333" w:name="_Toc437010642"/>
      <w:bookmarkStart w:id="334" w:name="_Toc438458623"/>
      <w:bookmarkStart w:id="335" w:name="_Toc428544967"/>
      <w:r>
        <w:rPr>
          <w:rFonts w:hint="eastAsia" w:ascii="宋体" w:hAnsi="宋体" w:cs="黑体"/>
          <w:b/>
          <w:color w:val="000000"/>
          <w:sz w:val="26"/>
          <w:szCs w:val="26"/>
        </w:rPr>
        <w:t>第三十六章  发展壮大特色县域经济</w:t>
      </w:r>
      <w:bookmarkEnd w:id="333"/>
      <w:bookmarkEnd w:id="334"/>
      <w:bookmarkEnd w:id="335"/>
    </w:p>
    <w:p>
      <w:pPr>
        <w:spacing w:line="444" w:lineRule="exact"/>
        <w:ind w:firstLine="504" w:firstLineChars="200"/>
        <w:rPr>
          <w:rFonts w:ascii="宋体" w:hAnsi="宋体" w:eastAsia="仿宋_GB2312" w:cs="仿宋_GB2312"/>
          <w:color w:val="000000"/>
          <w:spacing w:val="-4"/>
          <w:sz w:val="26"/>
          <w:szCs w:val="26"/>
        </w:rPr>
      </w:pPr>
      <w:r>
        <w:rPr>
          <w:rFonts w:hint="eastAsia" w:ascii="宋体" w:hAnsi="宋体" w:eastAsia="仿宋_GB2312" w:cs="仿宋_GB2312"/>
          <w:color w:val="000000"/>
          <w:spacing w:val="-4"/>
          <w:sz w:val="26"/>
          <w:szCs w:val="26"/>
        </w:rPr>
        <w:t xml:space="preserve">推进扩权强县和自治区直管县行政体制改革，激发县域发展活力，培育经济强县。发挥县域比较优势，以城镇空间为依托，以工业园区为载体，以特色优势产业、农林产品加工和承接产业转移为重点，加强与大中城市、大企业产业配套协作，培育发展县域特色产业。加快培育中小城市和特色小城镇，增强综合承载力，推进县域城镇化进程。加大公共产品、公共服务投入力度，提升县域基础设施和教育、卫生、文化、就业、社会保障等公共服务水平。统筹推进县改市（区）、乡改镇、镇改街道办、村委会改居委会等工作。 </w:t>
      </w:r>
    </w:p>
    <w:p>
      <w:pPr>
        <w:pStyle w:val="2"/>
        <w:spacing w:beforeLines="80" w:afterLines="80" w:line="460" w:lineRule="exact"/>
        <w:rPr>
          <w:rFonts w:ascii="宋体" w:hAnsi="宋体" w:cs="黑体"/>
          <w:color w:val="000000"/>
          <w:sz w:val="26"/>
          <w:szCs w:val="26"/>
        </w:rPr>
      </w:pPr>
      <w:bookmarkStart w:id="336" w:name="_Toc422341056"/>
      <w:bookmarkStart w:id="337" w:name="_Toc428544968"/>
      <w:bookmarkStart w:id="338" w:name="_Toc437010653"/>
      <w:bookmarkStart w:id="339" w:name="_Toc438458628"/>
      <w:r>
        <w:rPr>
          <w:rFonts w:hint="eastAsia" w:ascii="宋体" w:hAnsi="宋体" w:cs="黑体"/>
          <w:color w:val="000000"/>
          <w:sz w:val="26"/>
          <w:szCs w:val="26"/>
        </w:rPr>
        <w:t>第十篇</w:t>
      </w:r>
      <w:r>
        <w:rPr>
          <w:rFonts w:ascii="宋体" w:hAnsi="宋体" w:cs="黑体"/>
          <w:color w:val="000000"/>
          <w:sz w:val="26"/>
          <w:szCs w:val="26"/>
        </w:rPr>
        <w:t xml:space="preserve"> </w:t>
      </w:r>
      <w:r>
        <w:rPr>
          <w:rFonts w:hint="eastAsia" w:ascii="宋体" w:hAnsi="宋体" w:cs="黑体"/>
          <w:color w:val="000000"/>
          <w:sz w:val="26"/>
          <w:szCs w:val="26"/>
        </w:rPr>
        <w:t xml:space="preserve"> 绿色发展  构建和谐友好的生态文明体系</w:t>
      </w:r>
      <w:bookmarkEnd w:id="336"/>
      <w:bookmarkEnd w:id="337"/>
      <w:bookmarkEnd w:id="338"/>
      <w:bookmarkEnd w:id="339"/>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 xml:space="preserve">立足良好的生态环境优势，以生态经济为抓手推进生态文明建设，推动绿色、低碳、循环发展，构建生态经济发达、资源高效利用、环境舒适宜居、制度健全完善的生态文明体系。 </w:t>
      </w:r>
    </w:p>
    <w:p>
      <w:pPr>
        <w:pStyle w:val="3"/>
        <w:spacing w:beforeLines="50" w:afterLines="50" w:line="460" w:lineRule="exact"/>
        <w:rPr>
          <w:rFonts w:ascii="宋体" w:hAnsi="宋体" w:cs="黑体"/>
          <w:b/>
          <w:color w:val="000000"/>
          <w:sz w:val="26"/>
          <w:szCs w:val="26"/>
        </w:rPr>
      </w:pPr>
      <w:bookmarkStart w:id="340" w:name="_Toc422341057"/>
      <w:bookmarkStart w:id="341" w:name="_Toc428544969"/>
      <w:bookmarkStart w:id="342" w:name="_Toc437010654"/>
      <w:bookmarkStart w:id="343" w:name="_Toc438458629"/>
      <w:r>
        <w:rPr>
          <w:rFonts w:hint="eastAsia" w:ascii="宋体" w:hAnsi="宋体" w:cs="黑体"/>
          <w:b/>
          <w:color w:val="000000"/>
          <w:sz w:val="26"/>
          <w:szCs w:val="26"/>
        </w:rPr>
        <w:t xml:space="preserve">第三十七章 </w:t>
      </w:r>
      <w:r>
        <w:rPr>
          <w:rFonts w:ascii="宋体" w:hAnsi="宋体" w:cs="黑体"/>
          <w:b/>
          <w:color w:val="000000"/>
          <w:sz w:val="26"/>
          <w:szCs w:val="26"/>
        </w:rPr>
        <w:t xml:space="preserve"> </w:t>
      </w:r>
      <w:r>
        <w:rPr>
          <w:rFonts w:hint="eastAsia" w:ascii="宋体" w:hAnsi="宋体" w:cs="黑体"/>
          <w:b/>
          <w:color w:val="000000"/>
          <w:sz w:val="26"/>
          <w:szCs w:val="26"/>
        </w:rPr>
        <w:t>大力发展生态经济</w:t>
      </w:r>
      <w:bookmarkEnd w:id="340"/>
      <w:bookmarkEnd w:id="341"/>
      <w:bookmarkEnd w:id="342"/>
      <w:bookmarkEnd w:id="343"/>
    </w:p>
    <w:p>
      <w:pPr>
        <w:spacing w:line="460" w:lineRule="exact"/>
        <w:ind w:firstLine="496" w:firstLineChars="200"/>
        <w:rPr>
          <w:rFonts w:ascii="宋体" w:hAnsi="宋体" w:eastAsia="仿宋_GB2312" w:cs="仿宋_GB2312"/>
          <w:color w:val="000000"/>
          <w:spacing w:val="-6"/>
          <w:sz w:val="26"/>
          <w:szCs w:val="26"/>
        </w:rPr>
      </w:pPr>
      <w:r>
        <w:rPr>
          <w:rFonts w:hint="eastAsia" w:ascii="宋体" w:hAnsi="宋体" w:eastAsia="仿宋_GB2312" w:cs="仿宋_GB2312"/>
          <w:color w:val="000000"/>
          <w:spacing w:val="-6"/>
          <w:sz w:val="26"/>
          <w:szCs w:val="26"/>
        </w:rPr>
        <w:t>坚持产业生态化、生态产业化、生活低碳化，以生态理念改造传统产业，以市场理念推进生态环境建设，以绿色理念推动生活方式转变，发展科技含量高、资源消耗低、环境污染少的生态经济。</w:t>
      </w:r>
    </w:p>
    <w:p>
      <w:pPr>
        <w:pStyle w:val="4"/>
        <w:spacing w:beforeLines="50" w:afterLines="50" w:line="460" w:lineRule="exact"/>
        <w:rPr>
          <w:rFonts w:ascii="宋体" w:hAnsi="宋体" w:cs="仿宋_GB2312"/>
          <w:color w:val="000000"/>
          <w:sz w:val="26"/>
          <w:szCs w:val="26"/>
        </w:rPr>
      </w:pPr>
      <w:bookmarkStart w:id="344" w:name="_Toc422341058"/>
      <w:bookmarkStart w:id="345" w:name="_Toc428544970"/>
      <w:bookmarkStart w:id="346" w:name="_Toc437010655"/>
      <w:r>
        <w:rPr>
          <w:rFonts w:hint="eastAsia" w:ascii="宋体" w:hAnsi="宋体" w:cs="仿宋_GB2312"/>
          <w:color w:val="000000"/>
          <w:sz w:val="26"/>
          <w:szCs w:val="26"/>
        </w:rPr>
        <w:t xml:space="preserve">第一节 </w:t>
      </w:r>
      <w:r>
        <w:rPr>
          <w:rFonts w:ascii="宋体" w:hAnsi="宋体" w:cs="仿宋_GB2312"/>
          <w:color w:val="000000"/>
          <w:sz w:val="26"/>
          <w:szCs w:val="26"/>
        </w:rPr>
        <w:t xml:space="preserve"> </w:t>
      </w:r>
      <w:r>
        <w:rPr>
          <w:rFonts w:hint="eastAsia" w:ascii="宋体" w:hAnsi="宋体" w:cs="仿宋_GB2312"/>
          <w:color w:val="000000"/>
          <w:sz w:val="26"/>
          <w:szCs w:val="26"/>
        </w:rPr>
        <w:t>推动产业生态化改造</w:t>
      </w:r>
      <w:bookmarkEnd w:id="344"/>
      <w:bookmarkEnd w:id="345"/>
      <w:bookmarkEnd w:id="346"/>
    </w:p>
    <w:p>
      <w:pPr>
        <w:spacing w:line="460" w:lineRule="exact"/>
        <w:ind w:firstLine="520" w:firstLineChars="200"/>
        <w:rPr>
          <w:ins w:id="7" w:author="Lenovo" w:date="2015-06-16T11:05:00Z"/>
          <w:rFonts w:ascii="宋体" w:hAnsi="宋体" w:eastAsia="仿宋_GB2312" w:cs="仿宋_GB2312"/>
          <w:color w:val="000000"/>
          <w:sz w:val="26"/>
          <w:szCs w:val="26"/>
        </w:rPr>
      </w:pPr>
      <w:r>
        <w:rPr>
          <w:rFonts w:hint="eastAsia" w:ascii="宋体" w:hAnsi="宋体" w:eastAsia="仿宋_GB2312" w:cs="仿宋_GB2312"/>
          <w:color w:val="000000"/>
          <w:sz w:val="26"/>
          <w:szCs w:val="26"/>
        </w:rPr>
        <w:t>推进绿色生产，积极发展生态工业、生态农业、生态服务业。实施资源型产业生态化改造和新兴生态产业发展工程，加强能源节约、资源循环利用、新能源开发、污染治理、生态修复等关键技术研发，健全生态产业技术创新体系，培育节能环保、新能源、新能源汽车、生物医药、新材料等新型生态工业，构建集约循环生态工业产业链。实施生态种养、生态林业循环提升工程，发展绿色有机生态农业。推广绿色产品和绿色服务，探索建立生态绿色产品认证标识、生态经济标准和生态服务价值评估体系，促进绿色消费，发展绿色低碳生态服务业。实施产业园区生态化改造，将现有产业园区建成联合企业型、综合型、静脉产业型园区，2020年国家级园区全部完成生态化改造，自治区级园区全部启动生态化改造，30%建成生态化园区。</w:t>
      </w:r>
    </w:p>
    <w:p>
      <w:pPr>
        <w:pStyle w:val="4"/>
        <w:spacing w:beforeLines="50" w:afterLines="50" w:line="460" w:lineRule="exact"/>
        <w:rPr>
          <w:rFonts w:ascii="宋体" w:hAnsi="宋体" w:cs="仿宋_GB2312"/>
          <w:color w:val="000000"/>
          <w:sz w:val="26"/>
          <w:szCs w:val="26"/>
        </w:rPr>
      </w:pPr>
      <w:bookmarkStart w:id="347" w:name="_Toc437010656"/>
      <w:bookmarkStart w:id="348" w:name="_Toc428544971"/>
      <w:bookmarkStart w:id="349" w:name="_Toc422341059"/>
      <w:r>
        <w:rPr>
          <w:rFonts w:hint="eastAsia" w:ascii="宋体" w:hAnsi="宋体" w:cs="仿宋_GB2312"/>
          <w:color w:val="000000"/>
          <w:sz w:val="26"/>
          <w:szCs w:val="26"/>
        </w:rPr>
        <w:t>第二节  推动生态环保产业化</w:t>
      </w:r>
      <w:bookmarkEnd w:id="347"/>
      <w:bookmarkEnd w:id="348"/>
      <w:bookmarkEnd w:id="349"/>
    </w:p>
    <w:p>
      <w:pPr>
        <w:spacing w:line="460" w:lineRule="exact"/>
        <w:ind w:firstLine="520" w:firstLineChars="200"/>
        <w:rPr>
          <w:rFonts w:ascii="宋体" w:hAnsi="宋体" w:eastAsia="仿宋_GB2312"/>
          <w:color w:val="000000"/>
          <w:sz w:val="26"/>
          <w:szCs w:val="26"/>
        </w:rPr>
      </w:pPr>
      <w:r>
        <w:rPr>
          <w:rFonts w:hint="eastAsia" w:ascii="宋体" w:hAnsi="宋体" w:eastAsia="仿宋_GB2312"/>
          <w:color w:val="000000"/>
          <w:sz w:val="26"/>
          <w:szCs w:val="26"/>
        </w:rPr>
        <w:t xml:space="preserve">引入社会资本投入生态建设和环境保护，推进第三方专业化治理，促进生态环保产业化，发展绿色产业。在石漠化治理、生态公益林、生物多样性保护等重大生态工程建设领域，探索采取政府购买服务、政府与社会资本合作（PPP）等方式建设，建立生态损害者赔偿、受益者付费、保护者得到合理补偿的市场化运行机制。以环境公共服务、园区集中治污、重点行业深度治理、农村环境整治为重点，推进环境污染第三方治理，培育治污市场主体。推进城镇污水垃圾处理等设施建设运营产业化，采取特许经营、委托经营等方式引入社会资本，向独立核算和自主经营的企业化模式转变。引进环境服务公司，对重点园区污染进行集中式、专业化治理。采取委托治理、委托运营、环境绩效合同管理等方式，引入专业公司，对制糖、石化、建材、有色金属等重点行业进行第三方治理。鼓励采用环境绩效合同等方式，开展农村环境第三方治理。鼓励社会资本参与规划和重大项目环境影响评价。健全生态环保多元化投入机制，鼓励社会资本参与政府投融资平台建设。完善价格和收费政策，创新金融服务模式，发展生态环保资本市场。 </w:t>
      </w:r>
    </w:p>
    <w:p>
      <w:pPr>
        <w:pStyle w:val="4"/>
        <w:spacing w:beforeLines="50" w:afterLines="50" w:line="460" w:lineRule="exact"/>
        <w:rPr>
          <w:rFonts w:ascii="宋体" w:hAnsi="宋体" w:cs="仿宋_GB2312"/>
          <w:color w:val="000000"/>
          <w:sz w:val="26"/>
          <w:szCs w:val="26"/>
        </w:rPr>
      </w:pPr>
      <w:bookmarkStart w:id="350" w:name="_Toc437010657"/>
      <w:bookmarkStart w:id="351" w:name="_Toc428544972"/>
      <w:bookmarkStart w:id="352" w:name="_Toc422341060"/>
      <w:r>
        <w:rPr>
          <w:rFonts w:hint="eastAsia" w:ascii="宋体" w:hAnsi="宋体" w:cs="仿宋_GB2312"/>
          <w:color w:val="000000"/>
          <w:sz w:val="26"/>
          <w:szCs w:val="26"/>
        </w:rPr>
        <w:t>第三节  推动生活方式低碳化</w:t>
      </w:r>
      <w:bookmarkEnd w:id="350"/>
      <w:bookmarkEnd w:id="351"/>
      <w:bookmarkEnd w:id="352"/>
    </w:p>
    <w:p>
      <w:pPr>
        <w:pStyle w:val="19"/>
        <w:widowControl w:val="0"/>
        <w:shd w:val="clear" w:color="auto" w:fill="FFFFFF"/>
        <w:spacing w:before="0" w:beforeAutospacing="0" w:afterLines="50" w:afterAutospacing="0" w:line="460" w:lineRule="exact"/>
        <w:ind w:firstLine="520" w:firstLineChars="200"/>
        <w:jc w:val="both"/>
        <w:rPr>
          <w:rFonts w:eastAsia="仿宋_GB2312" w:cs="仿宋_GB2312"/>
          <w:color w:val="000000"/>
          <w:sz w:val="32"/>
          <w:szCs w:val="32"/>
          <w:lang w:val="zh-CN"/>
        </w:rPr>
      </w:pPr>
      <w:r>
        <w:rPr>
          <w:rFonts w:hint="eastAsia" w:eastAsia="仿宋_GB2312" w:cs="仿宋_GB2312"/>
          <w:color w:val="000000"/>
          <w:sz w:val="26"/>
          <w:szCs w:val="26"/>
          <w:lang w:val="zh-CN"/>
        </w:rPr>
        <w:t>增强全社会绿色消费意识，推广绿色生活，普及绿色消费，抵制奢侈浪费和不合理消费，把绿色消费培育成为新的消费热点，</w:t>
      </w:r>
      <w:r>
        <w:rPr>
          <w:rFonts w:hint="eastAsia" w:eastAsia="仿宋_GB2312" w:cs="仿宋_GB2312"/>
          <w:color w:val="000000"/>
          <w:sz w:val="26"/>
          <w:szCs w:val="26"/>
        </w:rPr>
        <w:t>推动生活方式和消费模式向</w:t>
      </w:r>
      <w:r>
        <w:rPr>
          <w:rFonts w:hint="eastAsia" w:eastAsia="仿宋_GB2312" w:cs="仿宋_GB2312"/>
          <w:color w:val="000000"/>
          <w:sz w:val="26"/>
          <w:szCs w:val="26"/>
          <w:lang w:val="zh-CN"/>
        </w:rPr>
        <w:t>勤俭节约、绿色低碳、文明健康方式转变。加大政府采购环境标志产品力度，鼓励消费者购买节水节电环保产品，减少一次性用品的使用，限制过度包装。完善生产者责任延伸制度，推行绿色供应链管理，推进绿色包装、绿色采购、绿色物流、绿色回收，大幅减少生产和流通过程中的能源资源消耗和污染物排放。</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60" w:lineRule="exact"/>
              <w:jc w:val="center"/>
              <w:rPr>
                <w:rFonts w:ascii="黑体" w:eastAsia="黑体"/>
                <w:color w:val="000000"/>
                <w:szCs w:val="30"/>
              </w:rPr>
            </w:pPr>
            <w:r>
              <w:rPr>
                <w:rFonts w:hint="eastAsia" w:ascii="黑体" w:hAnsi="黑体" w:eastAsia="黑体" w:cs="仿宋_GB2312"/>
                <w:color w:val="000000"/>
                <w:szCs w:val="24"/>
              </w:rPr>
              <w:t>专栏25  生态经济重点工程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jc w:val="center"/>
        </w:trPr>
        <w:tc>
          <w:tcPr>
            <w:tcW w:w="6237" w:type="dxa"/>
            <w:vAlign w:val="center"/>
          </w:tcPr>
          <w:p>
            <w:pPr>
              <w:spacing w:line="360" w:lineRule="exact"/>
              <w:rPr>
                <w:rFonts w:ascii="宋体" w:hAnsi="宋体"/>
                <w:color w:val="000000"/>
                <w:sz w:val="18"/>
                <w:szCs w:val="18"/>
              </w:rPr>
            </w:pPr>
            <w:r>
              <w:rPr>
                <w:rFonts w:hint="eastAsia" w:ascii="宋体" w:hAnsi="宋体"/>
                <w:color w:val="000000"/>
                <w:sz w:val="18"/>
                <w:szCs w:val="18"/>
              </w:rPr>
              <w:t>实施新兴生态产业发展、资源型产业生态化改造、产业园区生态化建设、生态种养发展、生态旅游发展、水环境改善建设、大气环境治理建设、土壤修复与改善建设、固体废弃物处置、生态城镇建设等十大工程。</w:t>
            </w:r>
          </w:p>
        </w:tc>
      </w:tr>
    </w:tbl>
    <w:p>
      <w:pPr>
        <w:pStyle w:val="3"/>
        <w:spacing w:beforeLines="50" w:afterLines="50" w:line="456" w:lineRule="exact"/>
        <w:rPr>
          <w:rFonts w:ascii="宋体" w:hAnsi="宋体" w:cs="黑体"/>
          <w:b/>
          <w:color w:val="000000"/>
          <w:sz w:val="26"/>
          <w:szCs w:val="26"/>
        </w:rPr>
      </w:pPr>
      <w:bookmarkStart w:id="353" w:name="_Toc422341061"/>
      <w:bookmarkStart w:id="354" w:name="_Toc428544973"/>
      <w:bookmarkStart w:id="355" w:name="_Toc437010658"/>
      <w:bookmarkStart w:id="356" w:name="_Toc438458630"/>
      <w:r>
        <w:rPr>
          <w:rFonts w:hint="eastAsia" w:ascii="宋体" w:hAnsi="宋体" w:cs="黑体"/>
          <w:b/>
          <w:color w:val="000000"/>
          <w:sz w:val="26"/>
          <w:szCs w:val="26"/>
        </w:rPr>
        <w:t>第三十八章  节约</w:t>
      </w:r>
      <w:bookmarkEnd w:id="353"/>
      <w:bookmarkEnd w:id="354"/>
      <w:bookmarkEnd w:id="355"/>
      <w:r>
        <w:rPr>
          <w:rFonts w:hint="eastAsia" w:ascii="宋体" w:hAnsi="宋体" w:cs="黑体"/>
          <w:b/>
          <w:color w:val="000000"/>
          <w:sz w:val="26"/>
          <w:szCs w:val="26"/>
        </w:rPr>
        <w:t>集约利用资源</w:t>
      </w:r>
      <w:bookmarkEnd w:id="356"/>
    </w:p>
    <w:p>
      <w:pPr>
        <w:spacing w:line="456" w:lineRule="exact"/>
        <w:ind w:firstLine="520" w:firstLineChars="200"/>
        <w:rPr>
          <w:rFonts w:ascii="宋体" w:hAnsi="宋体" w:eastAsia="仿宋_GB2312" w:cs="仿宋_GB2312"/>
          <w:color w:val="000000"/>
          <w:kern w:val="0"/>
          <w:sz w:val="26"/>
          <w:szCs w:val="26"/>
        </w:rPr>
      </w:pPr>
      <w:r>
        <w:rPr>
          <w:rFonts w:hint="eastAsia" w:ascii="宋体" w:hAnsi="宋体" w:eastAsia="仿宋_GB2312" w:cs="仿宋_GB2312"/>
          <w:color w:val="000000"/>
          <w:kern w:val="0"/>
          <w:sz w:val="26"/>
          <w:szCs w:val="26"/>
        </w:rPr>
        <w:t>坚持节约优先，实施资源利用总量和强度“双控”行动，降低能源、土地、水、原材料消耗强度。</w:t>
      </w:r>
      <w:r>
        <w:rPr>
          <w:rFonts w:hint="eastAsia" w:ascii="宋体" w:hAnsi="宋体" w:eastAsia="仿宋_GB2312" w:cs="仿宋_GB2312"/>
          <w:color w:val="000000"/>
          <w:sz w:val="26"/>
          <w:szCs w:val="26"/>
        </w:rPr>
        <w:t>完善节约集约用地考评监管体系，</w:t>
      </w:r>
      <w:r>
        <w:rPr>
          <w:rFonts w:hint="eastAsia" w:ascii="宋体" w:hAnsi="宋体" w:eastAsia="仿宋_GB2312" w:cs="仿宋_GB2312"/>
          <w:color w:val="000000"/>
          <w:kern w:val="0"/>
          <w:sz w:val="26"/>
          <w:szCs w:val="26"/>
        </w:rPr>
        <w:t>强化主体功能定位和国土开发强度“双约束”，城镇建设用地严格控制在每万人1平方公里标准以内，提高产业项目投资和产出强度、容积率门槛，严格控制建设用地规模过快增长。实行最严格的水资源管理制度，发展节水农业，推进企业节水改造，建设节水型社会，农业灌溉用水有效利用系数提高到0.5以上，全区用水总量控制在309亿立方米。推进各领域各行业节材，加大替代性、可再生材料推广利用。建设绿色矿业，提高矿产资源开采回采率、选矿回收率和综合利用率。实施找矿突破行动，健全铝、锰、稀土等重要矿产资源储备体系，形成优势矿产资源战略接续区，提高矿产资源保障度。</w:t>
      </w:r>
    </w:p>
    <w:p>
      <w:pPr>
        <w:pStyle w:val="3"/>
        <w:spacing w:beforeLines="50" w:afterLines="50" w:line="456" w:lineRule="exact"/>
        <w:rPr>
          <w:rFonts w:ascii="宋体" w:hAnsi="宋体" w:cs="黑体"/>
          <w:b/>
          <w:color w:val="000000"/>
          <w:sz w:val="26"/>
          <w:szCs w:val="26"/>
        </w:rPr>
      </w:pPr>
      <w:bookmarkStart w:id="357" w:name="_Toc422341064"/>
      <w:bookmarkStart w:id="358" w:name="_Toc428544976"/>
      <w:bookmarkStart w:id="359" w:name="_Toc438458631"/>
      <w:bookmarkStart w:id="360" w:name="_Toc437010659"/>
      <w:r>
        <w:rPr>
          <w:rFonts w:hint="eastAsia" w:ascii="宋体" w:hAnsi="宋体" w:cs="黑体"/>
          <w:b/>
          <w:color w:val="000000"/>
          <w:sz w:val="26"/>
          <w:szCs w:val="26"/>
        </w:rPr>
        <w:t>第三十九章  加快发展循环经济</w:t>
      </w:r>
      <w:bookmarkEnd w:id="357"/>
      <w:bookmarkEnd w:id="358"/>
      <w:bookmarkEnd w:id="359"/>
      <w:bookmarkEnd w:id="360"/>
    </w:p>
    <w:p>
      <w:pPr>
        <w:spacing w:afterLines="50" w:line="456"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建立循环型工业、农业、服务业体系，提高资源综合利用水平。积极开发和推广应用源头减量、循环利用、再制造、零排放和产业链接技术。加快推进制糖、铝业、钢铁、有色金属、石化、化工、建材、林浆纸等行业循环经济发展，大力推广“源头减量、过程控制、末端再生”循环型生产方式，构建循环型工业体系。推进秸秆、畜禽养殖等农林废弃物资源化利用，发展种植业、林业、畜牧水产业循环经济，打造种养</w:t>
      </w:r>
      <w:r>
        <w:rPr>
          <w:rFonts w:hint="eastAsia" w:ascii="宋体" w:hAnsi="宋体" w:eastAsia="仿宋_GB2312" w:cs="仿宋_GB2312"/>
          <w:color w:val="000000"/>
          <w:spacing w:val="-4"/>
          <w:sz w:val="26"/>
          <w:szCs w:val="26"/>
        </w:rPr>
        <w:t>—</w:t>
      </w:r>
      <w:r>
        <w:rPr>
          <w:rFonts w:hint="eastAsia" w:ascii="宋体" w:hAnsi="宋体" w:eastAsia="仿宋_GB2312" w:cs="仿宋_GB2312"/>
          <w:color w:val="000000"/>
          <w:sz w:val="26"/>
          <w:szCs w:val="26"/>
        </w:rPr>
        <w:t>农林产品加工</w:t>
      </w:r>
      <w:r>
        <w:rPr>
          <w:rFonts w:hint="eastAsia" w:ascii="宋体" w:hAnsi="宋体" w:eastAsia="仿宋_GB2312" w:cs="仿宋_GB2312"/>
          <w:color w:val="000000"/>
          <w:spacing w:val="-4"/>
          <w:sz w:val="26"/>
          <w:szCs w:val="26"/>
        </w:rPr>
        <w:t>—</w:t>
      </w:r>
      <w:r>
        <w:rPr>
          <w:rFonts w:hint="eastAsia" w:ascii="宋体" w:hAnsi="宋体" w:eastAsia="仿宋_GB2312" w:cs="仿宋_GB2312"/>
          <w:color w:val="000000"/>
          <w:sz w:val="26"/>
          <w:szCs w:val="26"/>
        </w:rPr>
        <w:t>副产品综合利用</w:t>
      </w:r>
      <w:r>
        <w:rPr>
          <w:rFonts w:hint="eastAsia" w:ascii="宋体" w:hAnsi="宋体" w:eastAsia="仿宋_GB2312" w:cs="仿宋_GB2312"/>
          <w:color w:val="000000"/>
          <w:spacing w:val="-4"/>
          <w:sz w:val="26"/>
          <w:szCs w:val="26"/>
        </w:rPr>
        <w:t>—</w:t>
      </w:r>
      <w:r>
        <w:rPr>
          <w:rFonts w:hint="eastAsia" w:ascii="宋体" w:hAnsi="宋体" w:eastAsia="仿宋_GB2312" w:cs="仿宋_GB2312"/>
          <w:color w:val="000000"/>
          <w:sz w:val="26"/>
          <w:szCs w:val="26"/>
        </w:rPr>
        <w:t>农林产品物流循环产业链条，构建循环型农业体系。推进交通运输、现代物流、旅游休闲、商贸流通、住宿餐饮、通信服务等重点服务业循环经济发展，构建循环型服务业体系。推动产业园区循环化改造，建设热电联产循环经济生态产业园，实现园区道路、通信、供电、供水、供热、环保等基础设施共享，企业间废物交换与利用、物质和能量梯级利用，构建产业园区循环经济产业链。推进资源综合利用和循环经济示范基地建设。建立生活垃圾分类和再生资源回收体系，形成覆盖全社会的资源循环利用体系。</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60" w:lineRule="exact"/>
              <w:jc w:val="center"/>
              <w:rPr>
                <w:rFonts w:ascii="黑体" w:eastAsia="黑体"/>
                <w:color w:val="000000"/>
                <w:szCs w:val="30"/>
              </w:rPr>
            </w:pPr>
            <w:r>
              <w:rPr>
                <w:rFonts w:hint="eastAsia" w:ascii="黑体" w:hAnsi="黑体" w:eastAsia="黑体" w:cs="仿宋_GB2312"/>
                <w:color w:val="000000"/>
                <w:szCs w:val="24"/>
              </w:rPr>
              <w:t>专栏26  循环经济重点工程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4" w:hRule="atLeast"/>
          <w:jc w:val="center"/>
        </w:trPr>
        <w:tc>
          <w:tcPr>
            <w:tcW w:w="6237" w:type="dxa"/>
            <w:vAlign w:val="center"/>
          </w:tcPr>
          <w:p>
            <w:pPr>
              <w:spacing w:line="300" w:lineRule="exact"/>
              <w:rPr>
                <w:rFonts w:ascii="宋体" w:hAnsi="宋体"/>
                <w:color w:val="000000"/>
                <w:sz w:val="18"/>
                <w:szCs w:val="18"/>
              </w:rPr>
            </w:pPr>
            <w:r>
              <w:rPr>
                <w:rFonts w:hint="eastAsia" w:ascii="黑体" w:hAnsi="黑体" w:eastAsia="黑体"/>
                <w:color w:val="000000"/>
                <w:sz w:val="18"/>
                <w:szCs w:val="18"/>
              </w:rPr>
              <w:t>资源综合利用：</w:t>
            </w:r>
            <w:r>
              <w:rPr>
                <w:rFonts w:hint="eastAsia" w:ascii="宋体" w:hAnsi="宋体"/>
                <w:color w:val="000000"/>
                <w:sz w:val="18"/>
                <w:szCs w:val="18"/>
              </w:rPr>
              <w:t>实施共伴生矿产资源、尾矿、冶炼渣、赤泥、煤矸石、粉煤灰、建筑废弃物等大宗固体废物，以及秸秆、废弃物料、畜禽养殖粪污等综合利用。建设柳州、贺州平桂管理区国家资源综合利用“双百工程”示范基地，河池大宗固体废弃物综合利用示范基地等。2020年工业固体废弃物综合利用率达到80％以上。</w:t>
            </w:r>
          </w:p>
          <w:p>
            <w:pPr>
              <w:spacing w:line="300" w:lineRule="exact"/>
              <w:rPr>
                <w:rFonts w:ascii="黑体" w:hAnsi="黑体" w:eastAsia="黑体" w:cs="仿宋_GB2312"/>
                <w:color w:val="000000"/>
                <w:szCs w:val="24"/>
              </w:rPr>
            </w:pPr>
            <w:r>
              <w:rPr>
                <w:rFonts w:hint="eastAsia" w:ascii="黑体" w:hAnsi="黑体" w:eastAsia="黑体"/>
                <w:color w:val="000000"/>
                <w:sz w:val="18"/>
                <w:szCs w:val="18"/>
              </w:rPr>
              <w:t>循环经济示范基地：</w:t>
            </w:r>
            <w:r>
              <w:rPr>
                <w:rFonts w:hint="eastAsia" w:ascii="宋体" w:hAnsi="宋体"/>
                <w:color w:val="000000"/>
                <w:sz w:val="18"/>
                <w:szCs w:val="18"/>
              </w:rPr>
              <w:t>建设柳州、梧州市和田东、富川县国家循环经济示范市（县），全州循环农业示范县等。推进南宁经济技术开发区、钦州石化产业园、鹿寨经济技术开发区等园区循环改造。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7" w:hRule="atLeast"/>
          <w:jc w:val="center"/>
        </w:trPr>
        <w:tc>
          <w:tcPr>
            <w:tcW w:w="6237" w:type="dxa"/>
            <w:vAlign w:val="center"/>
          </w:tcPr>
          <w:p>
            <w:pPr>
              <w:spacing w:line="300" w:lineRule="exact"/>
              <w:rPr>
                <w:rFonts w:ascii="宋体" w:hAnsi="宋体"/>
                <w:color w:val="000000"/>
                <w:sz w:val="18"/>
                <w:szCs w:val="18"/>
              </w:rPr>
            </w:pPr>
            <w:r>
              <w:rPr>
                <w:rFonts w:hint="eastAsia" w:ascii="黑体" w:hAnsi="黑体" w:eastAsia="黑体"/>
                <w:color w:val="000000"/>
                <w:sz w:val="18"/>
                <w:szCs w:val="18"/>
              </w:rPr>
              <w:t>城市矿产示范基地：</w:t>
            </w:r>
            <w:r>
              <w:rPr>
                <w:rFonts w:hint="eastAsia" w:ascii="宋体" w:hAnsi="宋体"/>
                <w:color w:val="000000"/>
                <w:sz w:val="18"/>
                <w:szCs w:val="18"/>
              </w:rPr>
              <w:t xml:space="preserve">推进梧州、玉林龙潭进口再生资源加工利用园区国家“城市矿产”示范基地。 </w:t>
            </w:r>
          </w:p>
          <w:p>
            <w:pPr>
              <w:spacing w:line="300" w:lineRule="exact"/>
              <w:rPr>
                <w:rFonts w:ascii="黑体" w:hAnsi="黑体" w:eastAsia="黑体"/>
                <w:color w:val="000000"/>
                <w:sz w:val="18"/>
                <w:szCs w:val="18"/>
              </w:rPr>
            </w:pPr>
            <w:r>
              <w:rPr>
                <w:rFonts w:hint="eastAsia" w:ascii="黑体" w:hAnsi="黑体" w:eastAsia="黑体"/>
                <w:color w:val="000000"/>
                <w:sz w:val="18"/>
                <w:szCs w:val="18"/>
              </w:rPr>
              <w:t>再生资源回收体系：</w:t>
            </w:r>
            <w:r>
              <w:rPr>
                <w:rFonts w:hint="eastAsia" w:ascii="宋体" w:hAnsi="宋体"/>
                <w:color w:val="000000"/>
                <w:sz w:val="18"/>
                <w:szCs w:val="18"/>
              </w:rPr>
              <w:t>建设城市社区和乡村回收站点、分拣中心、集散市场三位一体的回收网络。</w:t>
            </w:r>
            <w:r>
              <w:rPr>
                <w:rFonts w:hint="eastAsia" w:ascii="黑体" w:hAnsi="黑体" w:eastAsia="黑体"/>
                <w:color w:val="000000"/>
                <w:sz w:val="18"/>
                <w:szCs w:val="18"/>
              </w:rPr>
              <w:t xml:space="preserve"> </w:t>
            </w:r>
          </w:p>
          <w:p>
            <w:pPr>
              <w:spacing w:line="300" w:lineRule="exact"/>
              <w:rPr>
                <w:rFonts w:ascii="宋体" w:hAnsi="宋体"/>
                <w:color w:val="000000"/>
                <w:sz w:val="18"/>
                <w:szCs w:val="18"/>
              </w:rPr>
            </w:pPr>
            <w:r>
              <w:rPr>
                <w:rFonts w:hint="eastAsia" w:ascii="黑体" w:hAnsi="黑体" w:eastAsia="黑体"/>
                <w:color w:val="000000"/>
                <w:sz w:val="18"/>
                <w:szCs w:val="18"/>
              </w:rPr>
              <w:t>垃圾分类回收制度：</w:t>
            </w:r>
            <w:r>
              <w:rPr>
                <w:rFonts w:hint="eastAsia" w:ascii="宋体" w:hAnsi="宋体"/>
                <w:color w:val="000000"/>
                <w:sz w:val="18"/>
                <w:szCs w:val="18"/>
              </w:rPr>
              <w:t>完善分类回收、密闭运输、集中处理体系，推进餐厨废弃物、医疗废弃物、建筑垃圾、生活垃圾等资源化利用和无害化处理。</w:t>
            </w:r>
          </w:p>
          <w:p>
            <w:pPr>
              <w:spacing w:line="300" w:lineRule="exact"/>
              <w:rPr>
                <w:rFonts w:ascii="宋体" w:hAnsi="宋体"/>
                <w:color w:val="000000"/>
                <w:szCs w:val="21"/>
              </w:rPr>
            </w:pPr>
            <w:r>
              <w:rPr>
                <w:rFonts w:hint="eastAsia" w:ascii="黑体" w:hAnsi="黑体" w:eastAsia="黑体"/>
                <w:color w:val="000000"/>
                <w:sz w:val="18"/>
                <w:szCs w:val="18"/>
              </w:rPr>
              <w:t>再制造产业化：</w:t>
            </w:r>
            <w:r>
              <w:rPr>
                <w:rFonts w:hint="eastAsia" w:ascii="宋体" w:hAnsi="宋体"/>
                <w:color w:val="000000"/>
                <w:sz w:val="18"/>
                <w:szCs w:val="18"/>
              </w:rPr>
              <w:t>完善再制造回收体系，规划汽车回收产业园区，建设柳州废旧汽车资源利用基地，发展以汽车、机械再制造为重点的再制造产业。</w:t>
            </w:r>
          </w:p>
        </w:tc>
      </w:tr>
    </w:tbl>
    <w:p>
      <w:pPr>
        <w:pStyle w:val="3"/>
        <w:spacing w:beforeLines="50" w:afterLines="50" w:line="444" w:lineRule="exact"/>
        <w:rPr>
          <w:rFonts w:ascii="宋体" w:hAnsi="宋体" w:cs="黑体"/>
          <w:b/>
          <w:color w:val="000000"/>
          <w:sz w:val="26"/>
          <w:szCs w:val="26"/>
        </w:rPr>
      </w:pPr>
      <w:bookmarkStart w:id="361" w:name="_Toc428544979"/>
      <w:bookmarkStart w:id="362" w:name="_Toc438458632"/>
      <w:bookmarkStart w:id="363" w:name="_Toc437010660"/>
      <w:r>
        <w:rPr>
          <w:rFonts w:hint="eastAsia" w:ascii="宋体" w:hAnsi="宋体" w:cs="黑体"/>
          <w:b/>
          <w:color w:val="000000"/>
          <w:sz w:val="26"/>
          <w:szCs w:val="26"/>
        </w:rPr>
        <w:t>第四十章  提升环境质量</w:t>
      </w:r>
      <w:bookmarkEnd w:id="361"/>
      <w:bookmarkEnd w:id="362"/>
      <w:bookmarkEnd w:id="363"/>
    </w:p>
    <w:p>
      <w:pPr>
        <w:spacing w:afterLines="50"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以提高环境质量为核心，深入实施大气、水、土壤污染防治行动计划，强化主要污染物排放总量控制。减少烟尘、粉尘和挥发性有机物排放，降低可吸入颗粒物、细颗粒物浓度，明显改善城乡空气环境质量。优先保护水质优良的水体，推进城市内河、乡村河沟等治理，基本消除设区城市黑臭水体。实现全部县城和建制镇污水垃圾处理设施全覆盖，做到稳定达标运行，中心城市基本实现污水垃圾全收集全处理，县城生活污水处理率达到85%。严格控制工业污染源，实现达标排放，推进地下水污染防治。开展土壤环境污染调查，优先保护耕地土壤环境，强化工业污染场地治理，继续开展重金属污染治理与修复。加大农村面源污染防治，统筹推进农村饮水安全、改水改厕、垃圾处理，推进种养业废弃物资源化利用、无害化处理，实现化肥、农药施用零增长，农膜减量使用。加强环境治理基础制度建设，建立自治区以下环保机构监测监察执法垂直管理制度，建设统一的实时在线环境监控系统，健全城市空气质量、主要河流断面水质、全部园区和重点企业排污口在线等监测体系。严格环保执法，防止大规模污染事件发生。</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专栏27  环境治理重点工程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2" w:hRule="atLeast"/>
          <w:jc w:val="center"/>
        </w:trPr>
        <w:tc>
          <w:tcPr>
            <w:tcW w:w="6237" w:type="dxa"/>
            <w:vAlign w:val="center"/>
          </w:tcPr>
          <w:p>
            <w:pPr>
              <w:spacing w:line="320" w:lineRule="exact"/>
              <w:rPr>
                <w:rFonts w:ascii="宋体" w:hAnsi="宋体"/>
                <w:color w:val="000000"/>
                <w:sz w:val="18"/>
                <w:szCs w:val="21"/>
              </w:rPr>
            </w:pPr>
            <w:r>
              <w:rPr>
                <w:rFonts w:hint="eastAsia" w:ascii="宋体" w:hAnsi="宋体"/>
                <w:color w:val="000000"/>
                <w:sz w:val="18"/>
                <w:szCs w:val="21"/>
              </w:rPr>
              <w:t xml:space="preserve">实施大气污染综合防治，西江、九洲江、贺江、龙江、刁江、盘阳河、南流江等流域治理与保护，良好湖泊整治和保护，北部湾近岸海域陆海统筹生态环境保护，漓江流域和桂林山水生态环境保护，邕江综合整治和开发利用、饮用水源地保护，重金属和危险废物污染综合防治，农村环境综合整治，环境保护基础能力建设等十大工程。 </w:t>
            </w:r>
          </w:p>
        </w:tc>
      </w:tr>
    </w:tbl>
    <w:p>
      <w:pPr>
        <w:pStyle w:val="3"/>
        <w:spacing w:beforeLines="50" w:afterLines="50" w:line="460" w:lineRule="exact"/>
        <w:rPr>
          <w:rFonts w:ascii="宋体" w:hAnsi="宋体" w:cs="黑体"/>
          <w:b/>
          <w:color w:val="000000"/>
          <w:sz w:val="26"/>
          <w:szCs w:val="26"/>
        </w:rPr>
      </w:pPr>
      <w:bookmarkStart w:id="364" w:name="_Toc422341067"/>
      <w:bookmarkStart w:id="365" w:name="_Toc428544980"/>
      <w:bookmarkStart w:id="366" w:name="_Toc437010661"/>
      <w:bookmarkStart w:id="367" w:name="_Toc438458633"/>
      <w:r>
        <w:rPr>
          <w:rFonts w:hint="eastAsia" w:ascii="宋体" w:hAnsi="宋体" w:cs="黑体"/>
          <w:b/>
          <w:color w:val="000000"/>
          <w:sz w:val="26"/>
          <w:szCs w:val="26"/>
        </w:rPr>
        <w:t>第四十一章  加强生态建设</w:t>
      </w:r>
      <w:bookmarkEnd w:id="364"/>
      <w:bookmarkEnd w:id="365"/>
      <w:bookmarkEnd w:id="366"/>
      <w:bookmarkEnd w:id="367"/>
    </w:p>
    <w:p>
      <w:pPr>
        <w:spacing w:afterLines="50" w:line="460" w:lineRule="exact"/>
        <w:ind w:firstLine="520" w:firstLineChars="200"/>
        <w:rPr>
          <w:rFonts w:ascii="宋体" w:hAnsi="宋体" w:eastAsia="仿宋_GB2312" w:cs="仿宋"/>
          <w:color w:val="000000"/>
          <w:sz w:val="26"/>
          <w:szCs w:val="26"/>
        </w:rPr>
      </w:pPr>
      <w:r>
        <w:rPr>
          <w:rFonts w:hint="eastAsia" w:ascii="宋体" w:hAnsi="宋体" w:eastAsia="仿宋_GB2312" w:cs="仿宋_GB2312"/>
          <w:color w:val="000000"/>
          <w:sz w:val="26"/>
          <w:szCs w:val="26"/>
        </w:rPr>
        <w:t>坚持保护优先、自然恢复为主，实施山水田林湖生态保护和修复工程，构建</w:t>
      </w:r>
      <w:r>
        <w:rPr>
          <w:rFonts w:hint="eastAsia" w:ascii="宋体" w:hAnsi="宋体" w:eastAsia="仿宋_GB2312" w:cs="仿宋"/>
          <w:color w:val="000000"/>
          <w:sz w:val="26"/>
          <w:szCs w:val="26"/>
        </w:rPr>
        <w:t>桂西桂北生态屏障，桂东北、桂西南、桂中、北部湾沿海、十万大山生态功能区，西江千里绿色走廊为主骨架的生态安全格局，提升森林、草地、河湖、湿地、海洋等自然生态系统稳定性和生态服务功能，提供更多优质生态产品。开展大规模国土绿化行动，建设林业重点工程，推进天然林保护和珠江防护林、</w:t>
      </w:r>
      <w:r>
        <w:rPr>
          <w:rFonts w:hint="eastAsia" w:ascii="宋体" w:hAnsi="宋体" w:eastAsia="仿宋_GB2312" w:cs="仿宋"/>
          <w:color w:val="000000"/>
          <w:spacing w:val="-2"/>
          <w:sz w:val="26"/>
          <w:szCs w:val="26"/>
        </w:rPr>
        <w:t>沿海防护林、生态公益林和血防林建设，加强退化防护林、低产低效林改造，继续实施退耕还林，增加森林面积，提高水源林和生态公益林占比。调整树种结构，适度控制速生桉种植，严禁移植天然大树进城，加强森林资源管护和生物多样性保护，切实保护珍稀濒危野生动植物、古树名木及自然生境。加强城市森林、湿地、绿道和郊野公园等生态设施建设，发展森林城市，打造森林小镇。强化桂林</w:t>
      </w:r>
      <w:r>
        <w:rPr>
          <w:rFonts w:hint="eastAsia" w:ascii="宋体" w:hAnsi="宋体" w:eastAsia="仿宋_GB2312" w:cs="仿宋_GB2312"/>
          <w:color w:val="000000"/>
          <w:spacing w:val="-2"/>
          <w:sz w:val="26"/>
          <w:szCs w:val="26"/>
        </w:rPr>
        <w:t>—</w:t>
      </w:r>
      <w:r>
        <w:rPr>
          <w:rFonts w:hint="eastAsia" w:ascii="宋体" w:hAnsi="宋体" w:eastAsia="仿宋_GB2312" w:cs="仿宋"/>
          <w:color w:val="000000"/>
          <w:spacing w:val="-2"/>
          <w:sz w:val="26"/>
          <w:szCs w:val="26"/>
        </w:rPr>
        <w:t>环江喀斯特世界自然遗产地、凌云</w:t>
      </w:r>
      <w:r>
        <w:rPr>
          <w:rFonts w:hint="eastAsia" w:ascii="宋体" w:hAnsi="宋体" w:eastAsia="仿宋_GB2312" w:cs="仿宋_GB2312"/>
          <w:color w:val="000000"/>
          <w:spacing w:val="-2"/>
          <w:sz w:val="26"/>
          <w:szCs w:val="26"/>
        </w:rPr>
        <w:t>—</w:t>
      </w:r>
      <w:r>
        <w:rPr>
          <w:rFonts w:hint="eastAsia" w:ascii="宋体" w:hAnsi="宋体" w:eastAsia="仿宋_GB2312" w:cs="仿宋"/>
          <w:color w:val="000000"/>
          <w:spacing w:val="-2"/>
          <w:sz w:val="26"/>
          <w:szCs w:val="26"/>
        </w:rPr>
        <w:t>乐业</w:t>
      </w:r>
      <w:r>
        <w:rPr>
          <w:rFonts w:hint="eastAsia" w:ascii="宋体" w:hAnsi="宋体" w:eastAsia="仿宋_GB2312" w:cs="仿宋_GB2312"/>
          <w:color w:val="000000"/>
          <w:spacing w:val="-2"/>
          <w:sz w:val="26"/>
          <w:szCs w:val="26"/>
        </w:rPr>
        <w:t>—</w:t>
      </w:r>
      <w:r>
        <w:rPr>
          <w:rFonts w:hint="eastAsia" w:ascii="宋体" w:hAnsi="宋体" w:eastAsia="仿宋_GB2312" w:cs="仿宋"/>
          <w:color w:val="000000"/>
          <w:spacing w:val="-2"/>
          <w:sz w:val="26"/>
          <w:szCs w:val="26"/>
        </w:rPr>
        <w:t>凤山世界地质公园保护。加强边境外来物种入侵防控。加强各类自然保护区管护，整合设立国家公园。积极应对气候变化，提升应对极端天气和气候事件能力。</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6237" w:type="dxa"/>
            <w:vAlign w:val="center"/>
          </w:tcPr>
          <w:p>
            <w:pPr>
              <w:spacing w:line="360" w:lineRule="exact"/>
              <w:jc w:val="center"/>
              <w:rPr>
                <w:rFonts w:ascii="黑体" w:eastAsia="黑体"/>
                <w:color w:val="000000"/>
                <w:szCs w:val="30"/>
              </w:rPr>
            </w:pPr>
            <w:r>
              <w:rPr>
                <w:rFonts w:hint="eastAsia" w:ascii="黑体" w:hAnsi="黑体" w:eastAsia="黑体" w:cs="仿宋_GB2312"/>
                <w:color w:val="000000"/>
                <w:szCs w:val="24"/>
              </w:rPr>
              <w:t>专栏28  生态建设重点工程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5" w:hRule="atLeast"/>
          <w:jc w:val="center"/>
        </w:trPr>
        <w:tc>
          <w:tcPr>
            <w:tcW w:w="6237" w:type="dxa"/>
            <w:vAlign w:val="center"/>
          </w:tcPr>
          <w:p>
            <w:pPr>
              <w:spacing w:line="360" w:lineRule="exact"/>
              <w:rPr>
                <w:rFonts w:ascii="宋体" w:hAnsi="宋体"/>
                <w:color w:val="000000"/>
                <w:sz w:val="18"/>
                <w:szCs w:val="21"/>
              </w:rPr>
            </w:pPr>
            <w:r>
              <w:rPr>
                <w:rFonts w:hint="eastAsia" w:ascii="宋体" w:hAnsi="宋体"/>
                <w:color w:val="000000"/>
                <w:sz w:val="18"/>
                <w:szCs w:val="21"/>
              </w:rPr>
              <w:t>实施“绿满八桂”造林绿化提升、山水林田湖生态治理、自然生态系统保护、退耕还林、天然林保护和防护林建设、国土综合整治、石漠化综合治理、绿色矿山建设、地质灾害治理、湿地保护与恢复、村屯绿化美化、生物多样性保护等工程。</w:t>
            </w:r>
          </w:p>
        </w:tc>
      </w:tr>
    </w:tbl>
    <w:p>
      <w:pPr>
        <w:tabs>
          <w:tab w:val="right" w:pos="9070"/>
        </w:tabs>
        <w:spacing w:line="540" w:lineRule="exact"/>
        <w:jc w:val="center"/>
        <w:rPr>
          <w:rFonts w:ascii="黑体" w:hAnsi="黑体" w:eastAsia="黑体" w:cs="楷体_GB2312"/>
          <w:color w:val="000000"/>
          <w:sz w:val="24"/>
          <w:szCs w:val="24"/>
        </w:rPr>
      </w:pPr>
      <w:bookmarkStart w:id="368" w:name="_Toc438458634"/>
      <w:bookmarkStart w:id="369" w:name="_Toc422341070"/>
      <w:bookmarkStart w:id="370" w:name="_Toc428544981"/>
      <w:bookmarkStart w:id="371" w:name="_Toc437010662"/>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r>
        <w:rPr>
          <w:color w:val="000000"/>
        </w:rPr>
        <w:drawing>
          <wp:anchor distT="0" distB="0" distL="114300" distR="114300" simplePos="0" relativeHeight="251659264" behindDoc="1" locked="0" layoutInCell="1" allowOverlap="1">
            <wp:simplePos x="0" y="0"/>
            <wp:positionH relativeFrom="column">
              <wp:posOffset>3810</wp:posOffset>
            </wp:positionH>
            <wp:positionV relativeFrom="paragraph">
              <wp:posOffset>2540</wp:posOffset>
            </wp:positionV>
            <wp:extent cx="3905250" cy="2954020"/>
            <wp:effectExtent l="19050" t="0" r="0" b="0"/>
            <wp:wrapNone/>
            <wp:docPr id="114" name="图片 114" descr="生态201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生态20160120"/>
                    <pic:cNvPicPr>
                      <a:picLocks noChangeAspect="1" noChangeArrowheads="1"/>
                    </pic:cNvPicPr>
                  </pic:nvPicPr>
                  <pic:blipFill>
                    <a:blip r:embed="rId18" cstate="print"/>
                    <a:srcRect/>
                    <a:stretch>
                      <a:fillRect/>
                    </a:stretch>
                  </pic:blipFill>
                  <pic:spPr>
                    <a:xfrm>
                      <a:off x="0" y="0"/>
                      <a:ext cx="3905250" cy="2954020"/>
                    </a:xfrm>
                    <a:prstGeom prst="rect">
                      <a:avLst/>
                    </a:prstGeom>
                    <a:noFill/>
                    <a:ln w="9525">
                      <a:noFill/>
                      <a:miter lim="800000"/>
                      <a:headEnd/>
                      <a:tailEnd/>
                    </a:ln>
                  </pic:spPr>
                </pic:pic>
              </a:graphicData>
            </a:graphic>
          </wp:anchor>
        </w:drawing>
      </w: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line="540" w:lineRule="exact"/>
        <w:jc w:val="center"/>
        <w:rPr>
          <w:rFonts w:ascii="黑体" w:hAnsi="黑体" w:eastAsia="黑体" w:cs="楷体_GB2312"/>
          <w:color w:val="000000"/>
          <w:sz w:val="24"/>
          <w:szCs w:val="24"/>
        </w:rPr>
      </w:pPr>
    </w:p>
    <w:p>
      <w:pPr>
        <w:tabs>
          <w:tab w:val="right" w:pos="9070"/>
        </w:tabs>
        <w:spacing w:beforeLines="50" w:line="540" w:lineRule="exact"/>
        <w:jc w:val="center"/>
        <w:rPr>
          <w:rFonts w:ascii="黑体" w:hAnsi="黑体" w:eastAsia="黑体" w:cs="楷体_GB2312"/>
          <w:color w:val="000000"/>
          <w:sz w:val="20"/>
          <w:szCs w:val="24"/>
        </w:rPr>
      </w:pPr>
      <w:r>
        <w:rPr>
          <w:rFonts w:hint="eastAsia" w:ascii="黑体" w:hAnsi="黑体" w:eastAsia="黑体" w:cs="楷体_GB2312"/>
          <w:color w:val="000000"/>
          <w:sz w:val="20"/>
          <w:szCs w:val="24"/>
        </w:rPr>
        <w:t>图8：一屏五区一走廊生态安全格局示意图</w:t>
      </w:r>
    </w:p>
    <w:p>
      <w:pPr>
        <w:pStyle w:val="3"/>
        <w:spacing w:beforeLines="80" w:afterLines="50" w:line="460" w:lineRule="exact"/>
        <w:rPr>
          <w:rFonts w:ascii="宋体" w:hAnsi="宋体" w:cs="黑体"/>
          <w:b/>
          <w:color w:val="000000"/>
          <w:sz w:val="26"/>
          <w:szCs w:val="26"/>
        </w:rPr>
      </w:pPr>
      <w:r>
        <w:rPr>
          <w:rFonts w:hint="eastAsia" w:ascii="宋体" w:hAnsi="宋体" w:cs="黑体"/>
          <w:b/>
          <w:color w:val="000000"/>
          <w:sz w:val="26"/>
          <w:szCs w:val="26"/>
        </w:rPr>
        <w:t>第四十二章  健全生态文明制度</w:t>
      </w:r>
      <w:bookmarkEnd w:id="368"/>
      <w:bookmarkEnd w:id="369"/>
      <w:bookmarkEnd w:id="370"/>
      <w:bookmarkEnd w:id="371"/>
    </w:p>
    <w:p>
      <w:pPr>
        <w:spacing w:afterLines="50" w:line="460" w:lineRule="exact"/>
        <w:ind w:firstLine="520" w:firstLineChars="200"/>
        <w:rPr>
          <w:rFonts w:ascii="宋体" w:hAnsi="宋体" w:eastAsia="仿宋_GB2312" w:cs="仿宋"/>
          <w:color w:val="000000"/>
          <w:spacing w:val="-2"/>
          <w:sz w:val="26"/>
          <w:szCs w:val="26"/>
        </w:rPr>
      </w:pPr>
      <w:r>
        <w:rPr>
          <w:rFonts w:hint="eastAsia" w:ascii="宋体" w:hAnsi="宋体" w:eastAsia="仿宋_GB2312" w:cs="仿宋_GB2312"/>
          <w:color w:val="000000"/>
          <w:sz w:val="26"/>
          <w:szCs w:val="26"/>
        </w:rPr>
        <w:t>落实生态空间用途管制，划定生态红线。</w:t>
      </w:r>
      <w:r>
        <w:rPr>
          <w:rFonts w:hint="eastAsia" w:ascii="宋体" w:hAnsi="宋体" w:eastAsia="仿宋_GB2312" w:cs="仿宋_GB2312"/>
          <w:color w:val="000000"/>
          <w:kern w:val="0"/>
          <w:sz w:val="26"/>
          <w:szCs w:val="26"/>
        </w:rPr>
        <w:t>强化节能减排降碳指标管理，</w:t>
      </w:r>
      <w:r>
        <w:rPr>
          <w:rFonts w:hint="eastAsia" w:ascii="宋体" w:hAnsi="宋体" w:eastAsia="仿宋_GB2312" w:cs="仿宋"/>
          <w:color w:val="000000"/>
          <w:sz w:val="26"/>
          <w:szCs w:val="26"/>
        </w:rPr>
        <w:t>实行最严格的源头保护制度</w:t>
      </w:r>
      <w:r>
        <w:rPr>
          <w:rFonts w:hint="eastAsia" w:ascii="宋体" w:hAnsi="宋体" w:eastAsia="仿宋_GB2312" w:cs="仿宋"/>
          <w:color w:val="000000"/>
          <w:spacing w:val="-4"/>
          <w:sz w:val="26"/>
          <w:szCs w:val="26"/>
        </w:rPr>
        <w:t>和环境保护责任追究、环境损害赔偿、自然资源资产离任审计制度，建立健全自然资源资产产权和用途管制、资源有偿使用和生态补偿、国土空间开发保护制度，以及用能权、用水权、排污权、碳排放权初始分配制度，完善碳排放权、排污权交易制度。</w:t>
      </w:r>
      <w:r>
        <w:rPr>
          <w:rFonts w:hint="eastAsia" w:ascii="宋体" w:hAnsi="宋体" w:eastAsia="仿宋_GB2312" w:cs="仿宋"/>
          <w:color w:val="000000"/>
          <w:sz w:val="26"/>
          <w:szCs w:val="26"/>
        </w:rPr>
        <w:t>建立</w:t>
      </w:r>
      <w:r>
        <w:rPr>
          <w:rFonts w:hint="eastAsia" w:ascii="宋体" w:hAnsi="宋体" w:eastAsia="仿宋_GB2312" w:cs="仿宋_GB2312"/>
          <w:color w:val="000000"/>
          <w:sz w:val="26"/>
          <w:szCs w:val="26"/>
        </w:rPr>
        <w:t>森林、草地、湖泊、湿地总量管理制度和生态价值评估制度，探索</w:t>
      </w:r>
      <w:r>
        <w:rPr>
          <w:rFonts w:hint="eastAsia" w:ascii="宋体" w:hAnsi="宋体" w:eastAsia="仿宋_GB2312" w:cs="仿宋"/>
          <w:color w:val="000000"/>
          <w:spacing w:val="-4"/>
          <w:sz w:val="26"/>
          <w:szCs w:val="26"/>
        </w:rPr>
        <w:t>编制自然资源负债表。</w:t>
      </w:r>
      <w:r>
        <w:rPr>
          <w:rFonts w:hint="eastAsia" w:ascii="宋体" w:hAnsi="宋体" w:eastAsia="仿宋_GB2312" w:cs="仿宋_GB2312"/>
          <w:color w:val="000000"/>
          <w:sz w:val="26"/>
          <w:szCs w:val="26"/>
        </w:rPr>
        <w:t>完善财政转移支付与生态环境保护成效挂钩制度。建立生态安全动态监测预警体系，实施环境风险全过程管理。</w:t>
      </w:r>
      <w:r>
        <w:rPr>
          <w:rFonts w:hint="eastAsia" w:ascii="宋体" w:hAnsi="宋体" w:eastAsia="仿宋_GB2312" w:cs="仿宋"/>
          <w:color w:val="000000"/>
          <w:spacing w:val="-4"/>
          <w:sz w:val="26"/>
          <w:szCs w:val="26"/>
        </w:rPr>
        <w:t>强化价格引导和税费调节，形成有利于资源节约和环境保护的制度安排和利益导向。开展九洲江跨省区生态补偿试点。</w:t>
      </w:r>
    </w:p>
    <w:p>
      <w:pPr>
        <w:pStyle w:val="2"/>
        <w:spacing w:beforeLines="80" w:afterLines="80" w:line="460" w:lineRule="exact"/>
        <w:rPr>
          <w:rFonts w:ascii="宋体" w:hAnsi="宋体" w:cs="黑体"/>
          <w:color w:val="000000"/>
          <w:sz w:val="26"/>
          <w:szCs w:val="26"/>
        </w:rPr>
      </w:pPr>
      <w:bookmarkStart w:id="372" w:name="_Toc428544986"/>
      <w:bookmarkStart w:id="373" w:name="_Toc438458635"/>
      <w:bookmarkStart w:id="374" w:name="_Toc422341071"/>
      <w:bookmarkStart w:id="375" w:name="_Toc437010666"/>
      <w:r>
        <w:rPr>
          <w:rFonts w:hint="eastAsia" w:ascii="宋体" w:hAnsi="宋体" w:cs="黑体"/>
          <w:color w:val="000000"/>
          <w:sz w:val="26"/>
          <w:szCs w:val="26"/>
        </w:rPr>
        <w:t>第十一篇  共建共享  健全基本均等的公共服务体系</w:t>
      </w:r>
      <w:bookmarkEnd w:id="372"/>
      <w:bookmarkEnd w:id="373"/>
      <w:bookmarkEnd w:id="374"/>
      <w:bookmarkEnd w:id="375"/>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按照人人参与、人人尽力、人人享有的要求，坚持保基本、兜底线、促公平，建立健全政府主导、覆盖城乡、可持续的基本公共服务体系，实现基本公共服务标准化、均等化、法定化。</w:t>
      </w:r>
    </w:p>
    <w:p>
      <w:pPr>
        <w:pStyle w:val="3"/>
        <w:spacing w:beforeLines="80" w:afterLines="50" w:line="460" w:lineRule="exact"/>
        <w:rPr>
          <w:rFonts w:ascii="宋体" w:hAnsi="宋体" w:cs="楷体_GB2312"/>
          <w:b/>
          <w:color w:val="000000"/>
          <w:sz w:val="26"/>
          <w:szCs w:val="26"/>
        </w:rPr>
      </w:pPr>
      <w:bookmarkStart w:id="376" w:name="_Toc422340958"/>
      <w:bookmarkStart w:id="377" w:name="_Toc438458636"/>
      <w:bookmarkStart w:id="378" w:name="_Toc437010553"/>
      <w:bookmarkStart w:id="379" w:name="_Toc428544867"/>
      <w:r>
        <w:rPr>
          <w:rFonts w:hint="eastAsia" w:ascii="宋体" w:hAnsi="宋体" w:cs="楷体_GB2312"/>
          <w:b/>
          <w:color w:val="000000"/>
          <w:sz w:val="26"/>
          <w:szCs w:val="26"/>
        </w:rPr>
        <w:t>第四十三章</w:t>
      </w:r>
      <w:r>
        <w:rPr>
          <w:rFonts w:ascii="宋体" w:hAnsi="宋体" w:cs="楷体_GB2312"/>
          <w:b/>
          <w:color w:val="000000"/>
          <w:sz w:val="26"/>
          <w:szCs w:val="26"/>
        </w:rPr>
        <w:t xml:space="preserve"> </w:t>
      </w:r>
      <w:r>
        <w:rPr>
          <w:rFonts w:hint="eastAsia" w:ascii="宋体" w:hAnsi="宋体" w:cs="楷体_GB2312"/>
          <w:b/>
          <w:color w:val="000000"/>
          <w:sz w:val="26"/>
          <w:szCs w:val="26"/>
        </w:rPr>
        <w:t xml:space="preserve"> 推进教育现代化</w:t>
      </w:r>
      <w:bookmarkEnd w:id="376"/>
      <w:bookmarkEnd w:id="377"/>
      <w:bookmarkEnd w:id="378"/>
      <w:bookmarkEnd w:id="379"/>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坚持优先发展、育人为本、提高质量、促进公平，深入实施教育振兴行动计划，统筹发展各级各类教育，建成国家民族教育示范区和面向东盟的教育国际交流合作高地。</w:t>
      </w:r>
    </w:p>
    <w:p>
      <w:pPr>
        <w:pStyle w:val="4"/>
        <w:spacing w:beforeLines="50" w:afterLines="50" w:line="460" w:lineRule="exact"/>
        <w:rPr>
          <w:rFonts w:ascii="宋体" w:hAnsi="宋体" w:cs="仿宋_GB2312"/>
          <w:color w:val="000000"/>
          <w:sz w:val="26"/>
          <w:szCs w:val="26"/>
        </w:rPr>
      </w:pPr>
      <w:bookmarkStart w:id="380" w:name="_Toc422340959"/>
      <w:bookmarkStart w:id="381" w:name="_Toc428544868"/>
      <w:bookmarkStart w:id="382" w:name="_Toc437010554"/>
      <w:r>
        <w:rPr>
          <w:rFonts w:hint="eastAsia" w:ascii="宋体" w:hAnsi="宋体" w:cs="仿宋_GB2312"/>
          <w:color w:val="000000"/>
          <w:sz w:val="26"/>
          <w:szCs w:val="26"/>
        </w:rPr>
        <w:t xml:space="preserve">第一节  </w:t>
      </w:r>
      <w:bookmarkEnd w:id="380"/>
      <w:bookmarkEnd w:id="381"/>
      <w:r>
        <w:rPr>
          <w:rFonts w:hint="eastAsia" w:ascii="宋体" w:hAnsi="宋体" w:cs="仿宋_GB2312"/>
          <w:color w:val="000000"/>
          <w:sz w:val="26"/>
          <w:szCs w:val="26"/>
        </w:rPr>
        <w:t>普及十五年基本教育</w:t>
      </w:r>
    </w:p>
    <w:bookmarkEnd w:id="382"/>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大力发展学前教育，实施学前教育行动计划，加快建设公办幼儿园，鼓励多元普惠幼儿园发展，加强设区市城区公办幼儿园建设，每个县城建设1所以上公办幼儿园，乡镇政府所在地建设1所中心幼儿园。均衡发展义务教育，加快城乡义务教育公办学校标准化建设，办好必要的教学点，重点建设农村义务教育寄宿制学校，实现乡镇全覆盖。加快普及高中阶段教育，实施高中阶段教育突破发展工程，推动多元化特色化优质化发展。办好特殊教育。畅通继续教育、终身学习通道，建设学习型社会。加强乡村教师队伍和师德师风建设，加大城乡教师交流和校长轮岗力度，建设高素质教师队伍。科学规划学校布局，优化教育资源配置，扩大城区学校的办学规模和容量。到2020年，力争学前教育三年毛入园率达到90％，义务教育巩固率95%，高中阶段教育毛入学率90%。</w:t>
      </w:r>
    </w:p>
    <w:p>
      <w:pPr>
        <w:pStyle w:val="4"/>
        <w:spacing w:beforeLines="50" w:afterLines="50" w:line="460" w:lineRule="exact"/>
        <w:rPr>
          <w:rFonts w:ascii="宋体" w:hAnsi="宋体" w:cs="仿宋_GB2312"/>
          <w:color w:val="000000"/>
          <w:sz w:val="26"/>
          <w:szCs w:val="26"/>
        </w:rPr>
      </w:pPr>
      <w:bookmarkStart w:id="383" w:name="_Toc437010555"/>
      <w:bookmarkStart w:id="384" w:name="_Toc428544869"/>
      <w:bookmarkStart w:id="385" w:name="_Toc422340960"/>
      <w:r>
        <w:rPr>
          <w:rFonts w:hint="eastAsia" w:ascii="宋体" w:hAnsi="宋体" w:cs="仿宋_GB2312"/>
          <w:color w:val="000000"/>
          <w:sz w:val="26"/>
          <w:szCs w:val="26"/>
        </w:rPr>
        <w:t>第二节  构建现代职业教育</w:t>
      </w:r>
      <w:bookmarkEnd w:id="383"/>
      <w:bookmarkEnd w:id="384"/>
      <w:bookmarkEnd w:id="385"/>
      <w:r>
        <w:rPr>
          <w:rFonts w:hint="eastAsia" w:ascii="宋体" w:hAnsi="宋体" w:cs="仿宋_GB2312"/>
          <w:color w:val="000000"/>
          <w:sz w:val="26"/>
          <w:szCs w:val="26"/>
        </w:rPr>
        <w:t>体系</w:t>
      </w:r>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加快建设民族地区职业教育综合改革试验区，构建产教融合、校企合作、中高职衔接、职教普教沟通的现代职业教育体系，培养一支数量充足、结构合理、素质过硬的技术技能人才队伍。优化职业教育布局，推进一批职教园区、示范职业院校、特色专业和实训基地建设。建立中职、高职、应用型本科、专业学位研究生相衔接的技术技能型人才成长通道。把教师进修、农业技术、扶贫开发、农民工就业、新型职业农民等培训纳入市县中职体系，增强市县中职吸引力。建立普通本科院校、高职院校等学分转换、学习成果互认制度，实现高职教育规模占高等教育一半左右。支持职业教育集团化发展。加强“双师双能型”教师培养，完善职业教育质量保障体系。扩大与东盟国家职业教育合作。</w:t>
      </w:r>
    </w:p>
    <w:p>
      <w:pPr>
        <w:pStyle w:val="4"/>
        <w:spacing w:beforeLines="50" w:afterLines="50" w:line="460" w:lineRule="exact"/>
        <w:rPr>
          <w:rFonts w:ascii="宋体" w:hAnsi="宋体" w:cs="仿宋_GB2312"/>
          <w:color w:val="000000"/>
          <w:sz w:val="26"/>
          <w:szCs w:val="26"/>
        </w:rPr>
      </w:pPr>
      <w:bookmarkStart w:id="386" w:name="_Toc428544870"/>
      <w:bookmarkStart w:id="387" w:name="_Toc437010556"/>
      <w:bookmarkStart w:id="388" w:name="_Toc422340961"/>
      <w:r>
        <w:rPr>
          <w:rFonts w:hint="eastAsia" w:ascii="宋体" w:hAnsi="宋体" w:cs="仿宋_GB2312"/>
          <w:color w:val="000000"/>
          <w:sz w:val="26"/>
          <w:szCs w:val="26"/>
        </w:rPr>
        <w:t>第三节  创新发展高等教育</w:t>
      </w:r>
      <w:bookmarkEnd w:id="386"/>
      <w:bookmarkEnd w:id="387"/>
    </w:p>
    <w:p>
      <w:pPr>
        <w:spacing w:line="460" w:lineRule="exact"/>
        <w:ind w:firstLine="520" w:firstLineChars="200"/>
        <w:rPr>
          <w:rFonts w:ascii="宋体" w:hAnsi="宋体" w:eastAsia="仿宋_GB2312" w:cs="仿宋_GB2312"/>
          <w:color w:val="000000"/>
          <w:sz w:val="26"/>
          <w:szCs w:val="26"/>
        </w:rPr>
      </w:pPr>
      <w:r>
        <w:rPr>
          <w:rFonts w:hint="eastAsia" w:ascii="宋体" w:hAnsi="宋体" w:eastAsia="仿宋_GB2312" w:cs="仿宋_GB2312"/>
          <w:color w:val="000000"/>
          <w:sz w:val="26"/>
          <w:szCs w:val="26"/>
        </w:rPr>
        <w:t>坚持分类建设、突出特色，实施高等教育强基创优计划，优化学校和学科专业布局，创新人才培养机制，扩大优质高等教育资源，提高教育质量，推动内涵式发展。提高高校水平和创新能力，建设具有国际先进水平的学科和国内同级同类一流大学，扩大研究生教育规模。强化高校创新创业教育，加快建设高校科技创新基础设施、教学实践基地、实训基地和大学科技园区，创新协同育人模式，引导部分普通本科高校向应用型转变。力争把广西大学建成特色鲜明、国内一流的综合性研究型大学。支持条件成熟地区发展特色教育园区，加快建设北部湾大学和南宁教育园区。到2020年，每十万人在校大学生数达2500人。</w:t>
      </w:r>
    </w:p>
    <w:p>
      <w:pPr>
        <w:pStyle w:val="4"/>
        <w:spacing w:beforeLines="50" w:afterLines="50" w:line="460" w:lineRule="exact"/>
        <w:rPr>
          <w:rFonts w:ascii="宋体" w:hAnsi="宋体" w:cs="仿宋_GB2312"/>
          <w:color w:val="000000"/>
          <w:sz w:val="26"/>
          <w:szCs w:val="26"/>
        </w:rPr>
      </w:pPr>
      <w:bookmarkStart w:id="389" w:name="_Toc428544871"/>
      <w:bookmarkStart w:id="390" w:name="_Toc437010557"/>
      <w:r>
        <w:rPr>
          <w:rFonts w:hint="eastAsia" w:ascii="宋体" w:hAnsi="宋体" w:cs="仿宋_GB2312"/>
          <w:color w:val="000000"/>
          <w:sz w:val="26"/>
          <w:szCs w:val="26"/>
        </w:rPr>
        <w:t xml:space="preserve">第四节 </w:t>
      </w:r>
      <w:r>
        <w:rPr>
          <w:rFonts w:ascii="宋体" w:hAnsi="宋体" w:cs="仿宋_GB2312"/>
          <w:color w:val="000000"/>
          <w:sz w:val="26"/>
          <w:szCs w:val="26"/>
        </w:rPr>
        <w:t xml:space="preserve"> </w:t>
      </w:r>
      <w:r>
        <w:rPr>
          <w:rFonts w:hint="eastAsia" w:ascii="宋体" w:hAnsi="宋体" w:cs="仿宋_GB2312"/>
          <w:color w:val="000000"/>
          <w:sz w:val="26"/>
          <w:szCs w:val="26"/>
        </w:rPr>
        <w:t>增强教育发展</w:t>
      </w:r>
      <w:bookmarkEnd w:id="389"/>
      <w:r>
        <w:rPr>
          <w:rFonts w:hint="eastAsia" w:ascii="宋体" w:hAnsi="宋体" w:cs="仿宋_GB2312"/>
          <w:color w:val="000000"/>
          <w:sz w:val="26"/>
          <w:szCs w:val="26"/>
        </w:rPr>
        <w:t>活力</w:t>
      </w:r>
      <w:bookmarkEnd w:id="390"/>
    </w:p>
    <w:p>
      <w:pPr>
        <w:spacing w:line="460" w:lineRule="exact"/>
        <w:ind w:firstLine="520" w:firstLineChars="200"/>
        <w:rPr>
          <w:rFonts w:ascii="宋体" w:hAnsi="宋体" w:eastAsia="仿宋_GB2312" w:cs="仿宋_GB2312"/>
          <w:color w:val="000000"/>
          <w:sz w:val="32"/>
          <w:szCs w:val="32"/>
        </w:rPr>
      </w:pPr>
      <w:r>
        <w:rPr>
          <w:rFonts w:hint="eastAsia" w:ascii="宋体" w:hAnsi="宋体" w:eastAsia="仿宋_GB2312" w:cs="仿宋_GB2312"/>
          <w:color w:val="000000"/>
          <w:sz w:val="26"/>
          <w:szCs w:val="26"/>
        </w:rPr>
        <w:t>全面实施素质教育，深化考试招生制度、教育教学、办学体制等改革，深入推进管办评分离，促进现代信息技术与教育深度融合，发展远程教育，支持和规范民办教育发展，鼓励社会力量和民间资本提供多样化教育服务。坚持教育资源配置向革命老区、少数民族集聚区、边境地区、贫困地区倾斜，改善农村留守儿童接受义务教育状况，推动进城务工人员子女平等接受教育，免除中等职业教育学杂费，免除建档立卡家庭经济困难学生普通高中学杂费。完善资助方式，实现家庭经济困难学生资助全覆盖。积极发展大学智库。扩大教育开放合作，加强面向东盟的教育培训中心和人才培养基地建设，发展留学生教育，建设东盟研究基地。</w:t>
      </w:r>
    </w:p>
    <w:p>
      <w:pPr>
        <w:spacing w:line="100" w:lineRule="exact"/>
        <w:ind w:firstLine="640" w:firstLineChars="200"/>
        <w:rPr>
          <w:rFonts w:ascii="宋体" w:hAnsi="宋体" w:eastAsia="仿宋_GB2312" w:cs="仿宋_GB2312"/>
          <w:color w:val="000000"/>
          <w:sz w:val="32"/>
          <w:szCs w:val="32"/>
        </w:rPr>
      </w:pP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00" w:lineRule="exact"/>
              <w:jc w:val="center"/>
              <w:rPr>
                <w:rFonts w:ascii="黑体" w:hAnsi="宋体" w:eastAsia="黑体"/>
                <w:color w:val="000000"/>
                <w:kern w:val="0"/>
                <w:szCs w:val="24"/>
              </w:rPr>
            </w:pPr>
            <w:r>
              <w:rPr>
                <w:rFonts w:ascii="宋体" w:hAnsi="宋体" w:eastAsia="仿宋_GB2312" w:cs="仿宋_GB2312"/>
                <w:color w:val="000000"/>
                <w:szCs w:val="32"/>
              </w:rPr>
              <w:br w:type="page"/>
            </w:r>
            <w:r>
              <w:rPr>
                <w:rFonts w:hint="eastAsia" w:ascii="黑体" w:hAnsi="宋体" w:eastAsia="黑体" w:cs="仿宋_GB2312"/>
                <w:color w:val="000000"/>
                <w:szCs w:val="24"/>
              </w:rPr>
              <w:t>专栏29  教育发展重点工程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7" w:hRule="atLeast"/>
          <w:jc w:val="center"/>
        </w:trPr>
        <w:tc>
          <w:tcPr>
            <w:tcW w:w="6237" w:type="dxa"/>
            <w:vAlign w:val="center"/>
          </w:tcPr>
          <w:p>
            <w:pPr>
              <w:spacing w:line="300" w:lineRule="exact"/>
              <w:rPr>
                <w:rFonts w:ascii="宋体" w:hAnsi="宋体"/>
                <w:color w:val="000000"/>
                <w:sz w:val="18"/>
                <w:szCs w:val="21"/>
              </w:rPr>
            </w:pPr>
            <w:r>
              <w:rPr>
                <w:rFonts w:hint="eastAsia" w:ascii="黑体" w:hAnsi="黑体" w:eastAsia="黑体"/>
                <w:color w:val="000000"/>
                <w:sz w:val="18"/>
                <w:szCs w:val="21"/>
              </w:rPr>
              <w:t>学前教育：</w:t>
            </w:r>
            <w:r>
              <w:rPr>
                <w:rFonts w:hint="eastAsia" w:ascii="宋体" w:hAnsi="宋体"/>
                <w:color w:val="000000"/>
                <w:sz w:val="18"/>
                <w:szCs w:val="21"/>
              </w:rPr>
              <w:t>实施第三期学前教育三年行动计划，扩大优化学前教育资源，2020年解决入园难问题。</w:t>
            </w:r>
          </w:p>
          <w:p>
            <w:pPr>
              <w:spacing w:line="300" w:lineRule="exact"/>
              <w:rPr>
                <w:rFonts w:ascii="宋体" w:hAnsi="宋体"/>
                <w:color w:val="000000"/>
                <w:sz w:val="18"/>
                <w:szCs w:val="21"/>
              </w:rPr>
            </w:pPr>
            <w:r>
              <w:rPr>
                <w:rFonts w:hint="eastAsia" w:ascii="黑体" w:hAnsi="黑体" w:eastAsia="黑体"/>
                <w:color w:val="000000"/>
                <w:sz w:val="18"/>
                <w:szCs w:val="21"/>
              </w:rPr>
              <w:t>义务教育：</w:t>
            </w:r>
            <w:r>
              <w:rPr>
                <w:rFonts w:hint="eastAsia" w:ascii="宋体" w:hAnsi="宋体"/>
                <w:color w:val="000000"/>
                <w:sz w:val="18"/>
                <w:szCs w:val="21"/>
              </w:rPr>
              <w:t>实施“全面改薄”、学校标准化和农村义务教育寄宿制学校建设工程，消除大班额、大通铺现象，2020年实现县域义务教育均衡发展。</w:t>
            </w:r>
          </w:p>
          <w:p>
            <w:pPr>
              <w:spacing w:line="300" w:lineRule="exact"/>
              <w:rPr>
                <w:rFonts w:ascii="宋体" w:hAnsi="宋体"/>
                <w:color w:val="000000"/>
                <w:sz w:val="18"/>
                <w:szCs w:val="21"/>
              </w:rPr>
            </w:pPr>
            <w:r>
              <w:rPr>
                <w:rFonts w:hint="eastAsia" w:ascii="黑体" w:hAnsi="黑体" w:eastAsia="黑体"/>
                <w:color w:val="000000"/>
                <w:sz w:val="18"/>
                <w:szCs w:val="21"/>
              </w:rPr>
              <w:t>高中阶段教育：</w:t>
            </w:r>
            <w:r>
              <w:rPr>
                <w:rFonts w:hint="eastAsia" w:ascii="宋体" w:hAnsi="宋体"/>
                <w:color w:val="000000"/>
                <w:sz w:val="18"/>
                <w:szCs w:val="21"/>
              </w:rPr>
              <w:t>实施高中阶段教育突破发展工程，优化学校布局，每十万人口建设一所普通高中，2020年普及高中阶段教育。</w:t>
            </w:r>
          </w:p>
          <w:p>
            <w:pPr>
              <w:spacing w:line="300" w:lineRule="exact"/>
              <w:rPr>
                <w:rFonts w:ascii="宋体" w:hAnsi="宋体" w:eastAsia="仿宋_GB2312" w:cs="仿宋_GB2312"/>
                <w:color w:val="000000"/>
                <w:szCs w:val="32"/>
              </w:rPr>
            </w:pPr>
            <w:r>
              <w:rPr>
                <w:rFonts w:hint="eastAsia" w:ascii="黑体" w:hAnsi="黑体" w:eastAsia="黑体"/>
                <w:color w:val="000000"/>
                <w:sz w:val="18"/>
                <w:szCs w:val="21"/>
              </w:rPr>
              <w:t>职业教育：</w:t>
            </w:r>
            <w:r>
              <w:rPr>
                <w:rFonts w:hint="eastAsia" w:ascii="宋体" w:hAnsi="宋体"/>
                <w:color w:val="000000"/>
                <w:sz w:val="18"/>
                <w:szCs w:val="21"/>
              </w:rPr>
              <w:t>建设100所中职、20所高职示范院校，南宁、柳州、桂林、崇左和贵港西江职教园区。以及一批中高职院校实训基地项目。2020年在民族地区率先建成现代职业教育体系。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2" w:hRule="atLeast"/>
          <w:jc w:val="center"/>
        </w:trPr>
        <w:tc>
          <w:tcPr>
            <w:tcW w:w="6237" w:type="dxa"/>
            <w:vAlign w:val="center"/>
          </w:tcPr>
          <w:p>
            <w:pPr>
              <w:spacing w:line="320" w:lineRule="exact"/>
              <w:rPr>
                <w:rFonts w:ascii="宋体" w:hAnsi="宋体"/>
                <w:color w:val="000000"/>
                <w:sz w:val="18"/>
                <w:szCs w:val="21"/>
              </w:rPr>
            </w:pPr>
            <w:r>
              <w:rPr>
                <w:rFonts w:hint="eastAsia" w:ascii="黑体" w:hAnsi="黑体" w:eastAsia="黑体"/>
                <w:color w:val="000000"/>
                <w:sz w:val="18"/>
                <w:szCs w:val="21"/>
              </w:rPr>
              <w:t>高等教育：</w:t>
            </w:r>
            <w:r>
              <w:rPr>
                <w:rFonts w:hint="eastAsia" w:ascii="宋体" w:hAnsi="宋体"/>
                <w:color w:val="000000"/>
                <w:sz w:val="18"/>
                <w:szCs w:val="21"/>
              </w:rPr>
              <w:t>实施产教融合发展工程和强基创优计划，支持广西大学建设中西部高校综合实力提升工程，支持一批高校建设中西部高校基础能力建设工程，开展应用型本科高校转型试点。</w:t>
            </w:r>
          </w:p>
          <w:p>
            <w:pPr>
              <w:spacing w:line="320" w:lineRule="exact"/>
              <w:rPr>
                <w:rFonts w:ascii="宋体" w:hAnsi="宋体"/>
                <w:color w:val="000000"/>
                <w:szCs w:val="21"/>
              </w:rPr>
            </w:pPr>
            <w:r>
              <w:rPr>
                <w:rFonts w:hint="eastAsia" w:ascii="黑体" w:hAnsi="黑体" w:eastAsia="黑体"/>
                <w:color w:val="000000"/>
                <w:sz w:val="18"/>
                <w:szCs w:val="21"/>
              </w:rPr>
              <w:t>教师队伍建设：</w:t>
            </w:r>
            <w:r>
              <w:rPr>
                <w:rFonts w:hint="eastAsia" w:ascii="宋体" w:hAnsi="宋体"/>
                <w:color w:val="000000"/>
                <w:sz w:val="18"/>
                <w:szCs w:val="21"/>
              </w:rPr>
              <w:t>实施乡村教师支持、中小学教师支教、高校示范专业办学能力、中小学教师全员培训等计划和高校高层次领军人才引育工程。2020年形成一支高素质专业化教师队伍。</w:t>
            </w:r>
          </w:p>
        </w:tc>
      </w:tr>
      <w:bookmarkEnd w:id="388"/>
    </w:tbl>
    <w:p>
      <w:pPr>
        <w:pStyle w:val="3"/>
        <w:spacing w:beforeLines="50" w:afterLines="50" w:line="460" w:lineRule="exact"/>
        <w:rPr>
          <w:rFonts w:ascii="宋体" w:hAnsi="宋体" w:cs="黑体"/>
          <w:b/>
          <w:color w:val="000000"/>
          <w:sz w:val="26"/>
          <w:szCs w:val="26"/>
        </w:rPr>
      </w:pPr>
      <w:bookmarkStart w:id="391" w:name="_Toc422341072"/>
      <w:bookmarkStart w:id="392" w:name="_Toc428544987"/>
      <w:bookmarkStart w:id="393" w:name="_Toc437010667"/>
      <w:bookmarkStart w:id="394" w:name="_Toc438458637"/>
      <w:r>
        <w:rPr>
          <w:rFonts w:hint="eastAsia" w:ascii="宋体" w:hAnsi="宋体" w:cs="黑体"/>
          <w:b/>
          <w:color w:val="000000"/>
          <w:sz w:val="26"/>
          <w:szCs w:val="26"/>
        </w:rPr>
        <w:t>第四十四章</w:t>
      </w:r>
      <w:r>
        <w:rPr>
          <w:rFonts w:ascii="宋体" w:hAnsi="宋体" w:cs="黑体"/>
          <w:b/>
          <w:color w:val="000000"/>
          <w:sz w:val="26"/>
          <w:szCs w:val="26"/>
        </w:rPr>
        <w:t xml:space="preserve"> </w:t>
      </w:r>
      <w:r>
        <w:rPr>
          <w:rFonts w:hint="eastAsia" w:ascii="宋体" w:hAnsi="宋体" w:cs="黑体"/>
          <w:b/>
          <w:color w:val="000000"/>
          <w:sz w:val="26"/>
          <w:szCs w:val="26"/>
        </w:rPr>
        <w:t xml:space="preserve"> </w:t>
      </w:r>
      <w:bookmarkEnd w:id="391"/>
      <w:bookmarkEnd w:id="392"/>
      <w:bookmarkEnd w:id="393"/>
      <w:r>
        <w:rPr>
          <w:rFonts w:hint="eastAsia" w:ascii="宋体" w:hAnsi="宋体" w:cs="黑体"/>
          <w:b/>
          <w:color w:val="000000"/>
          <w:sz w:val="26"/>
          <w:szCs w:val="26"/>
        </w:rPr>
        <w:t>实施就业优先战略</w:t>
      </w:r>
      <w:bookmarkEnd w:id="394"/>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 xml:space="preserve">完善落实就业创业扶持政策，以创业带就业，健全覆盖城乡的就业创业服务体系，着力解决结构性就业矛盾，实现更加充分、更高质量的就业。 </w:t>
      </w:r>
    </w:p>
    <w:p>
      <w:pPr>
        <w:pStyle w:val="4"/>
        <w:spacing w:beforeLines="50" w:afterLines="50" w:line="460" w:lineRule="exact"/>
        <w:rPr>
          <w:rFonts w:ascii="宋体" w:hAnsi="宋体" w:cs="仿宋"/>
          <w:bCs w:val="0"/>
          <w:color w:val="000000"/>
          <w:sz w:val="26"/>
          <w:szCs w:val="26"/>
        </w:rPr>
      </w:pPr>
      <w:bookmarkStart w:id="395" w:name="_Toc437010668"/>
      <w:bookmarkStart w:id="396" w:name="_Toc422341073"/>
      <w:bookmarkStart w:id="397" w:name="_Toc428544988"/>
      <w:r>
        <w:rPr>
          <w:rFonts w:hint="eastAsia" w:ascii="宋体" w:hAnsi="宋体" w:cs="仿宋"/>
          <w:bCs w:val="0"/>
          <w:color w:val="000000"/>
          <w:sz w:val="26"/>
          <w:szCs w:val="26"/>
        </w:rPr>
        <w:t xml:space="preserve">第一节  </w:t>
      </w:r>
      <w:bookmarkEnd w:id="395"/>
      <w:bookmarkEnd w:id="396"/>
      <w:bookmarkEnd w:id="397"/>
      <w:r>
        <w:rPr>
          <w:rFonts w:hint="eastAsia" w:ascii="宋体" w:hAnsi="宋体" w:cs="仿宋"/>
          <w:bCs w:val="0"/>
          <w:color w:val="000000"/>
          <w:sz w:val="26"/>
          <w:szCs w:val="26"/>
        </w:rPr>
        <w:t>大力推进就业创业</w:t>
      </w:r>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稳定并扩大就业规模，城镇调查失业率控制在6%以内。大力发展劳动密集型产业、现代服务业等吸纳就业能力强的产业，扶持发展中小微企业，发挥中小微企业就业主渠道作用。完善和落实创业投融资、税费减免、财政贴息、场地安排等创业激励政策，加快商事制度改革，促进各类群体自主创业，以创业带动就业。落实高校毕业生就业促进和创业引领计划，带动青年就业创业。实施农民工创业促进工程，支持农民工返乡创业。统筹推进城镇就业困难人员、残疾人就业。做好退役军人转业安置。建立健全政府投资和重大项目建设带动就业的机制。加强对灵活就业、新就业形态的支持。强化就业援助，帮助就业困难人员就业。</w:t>
      </w:r>
    </w:p>
    <w:p>
      <w:pPr>
        <w:pStyle w:val="4"/>
        <w:spacing w:beforeLines="50" w:afterLines="50" w:line="460" w:lineRule="exact"/>
        <w:rPr>
          <w:rFonts w:ascii="宋体" w:hAnsi="宋体" w:cs="仿宋"/>
          <w:bCs w:val="0"/>
          <w:color w:val="000000"/>
          <w:sz w:val="26"/>
          <w:szCs w:val="26"/>
        </w:rPr>
      </w:pPr>
      <w:bookmarkStart w:id="398" w:name="_Toc422341074"/>
      <w:bookmarkStart w:id="399" w:name="_Toc437010669"/>
      <w:bookmarkStart w:id="400" w:name="_Toc428544989"/>
      <w:r>
        <w:rPr>
          <w:rFonts w:hint="eastAsia" w:ascii="宋体" w:hAnsi="宋体" w:cs="仿宋"/>
          <w:bCs w:val="0"/>
          <w:color w:val="000000"/>
          <w:sz w:val="26"/>
          <w:szCs w:val="26"/>
        </w:rPr>
        <w:t>第二节  提高就业服务</w:t>
      </w:r>
      <w:bookmarkEnd w:id="398"/>
      <w:bookmarkEnd w:id="399"/>
      <w:bookmarkEnd w:id="400"/>
      <w:r>
        <w:rPr>
          <w:rFonts w:hint="eastAsia" w:ascii="宋体" w:hAnsi="宋体" w:cs="仿宋"/>
          <w:bCs w:val="0"/>
          <w:color w:val="000000"/>
          <w:sz w:val="26"/>
          <w:szCs w:val="26"/>
        </w:rPr>
        <w:t>能力</w:t>
      </w:r>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统筹人力资源市场，规范就业服务和管理，实现城乡、行业和身份、性别、残疾等各类人群平等就业。建立全区统一的就业信息资源库，逐步实现与全国联网，制定实施县级以上公共就业创业服务标准和办法。实施新生代农民工职业技能提升和失业人员转岗培训，开展退役军人免费接受职业培训，对未能升学的应届初高中毕业生等新生劳动力实行劳动预备制培训，支持企业开展职工岗位技能培训，建立健全面向全体劳动者的职业培训和创业培训制度。完善职称评定和职业技能鉴定制度。完善失业保险制度和就业失业调查统计制度。健全劳动关系协调机制，完善劳动人事争议调处机制和劳动监察执法机制。构建和谐劳动关系，维护职工和企业合法权益。</w:t>
      </w:r>
    </w:p>
    <w:p>
      <w:pPr>
        <w:pStyle w:val="3"/>
        <w:spacing w:beforeLines="50" w:afterLines="50" w:line="460" w:lineRule="exact"/>
        <w:rPr>
          <w:rFonts w:ascii="宋体" w:hAnsi="宋体" w:cs="黑体"/>
          <w:b/>
          <w:color w:val="000000"/>
          <w:sz w:val="26"/>
          <w:szCs w:val="26"/>
        </w:rPr>
      </w:pPr>
      <w:bookmarkStart w:id="401" w:name="_Toc422341075"/>
      <w:bookmarkStart w:id="402" w:name="_Toc428544990"/>
      <w:bookmarkStart w:id="403" w:name="_Toc438458638"/>
      <w:bookmarkStart w:id="404" w:name="_Toc437010670"/>
      <w:r>
        <w:rPr>
          <w:rFonts w:hint="eastAsia" w:ascii="宋体" w:hAnsi="宋体" w:cs="黑体"/>
          <w:b/>
          <w:color w:val="000000"/>
          <w:sz w:val="26"/>
          <w:szCs w:val="26"/>
        </w:rPr>
        <w:t>第四十五章</w:t>
      </w:r>
      <w:r>
        <w:rPr>
          <w:rFonts w:ascii="宋体" w:hAnsi="宋体" w:cs="黑体"/>
          <w:b/>
          <w:color w:val="000000"/>
          <w:sz w:val="26"/>
          <w:szCs w:val="26"/>
        </w:rPr>
        <w:t xml:space="preserve"> </w:t>
      </w:r>
      <w:r>
        <w:rPr>
          <w:rFonts w:hint="eastAsia" w:ascii="宋体" w:hAnsi="宋体" w:cs="黑体"/>
          <w:b/>
          <w:color w:val="000000"/>
          <w:sz w:val="26"/>
          <w:szCs w:val="26"/>
        </w:rPr>
        <w:t xml:space="preserve"> 健全社会保障</w:t>
      </w:r>
      <w:bookmarkEnd w:id="401"/>
      <w:r>
        <w:rPr>
          <w:rFonts w:hint="eastAsia" w:ascii="宋体" w:hAnsi="宋体" w:cs="黑体"/>
          <w:b/>
          <w:color w:val="000000"/>
          <w:sz w:val="26"/>
          <w:szCs w:val="26"/>
        </w:rPr>
        <w:t>体系</w:t>
      </w:r>
      <w:bookmarkEnd w:id="402"/>
      <w:bookmarkEnd w:id="403"/>
      <w:bookmarkEnd w:id="404"/>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坚持全民覆盖、保障适度、权责清晰、运行高效，建立健全更加公平更可持续的社会保障制度。</w:t>
      </w:r>
    </w:p>
    <w:p>
      <w:pPr>
        <w:pStyle w:val="4"/>
        <w:spacing w:beforeLines="50" w:afterLines="50" w:line="460" w:lineRule="exact"/>
        <w:rPr>
          <w:rFonts w:ascii="宋体" w:hAnsi="宋体" w:cs="仿宋"/>
          <w:bCs w:val="0"/>
          <w:color w:val="000000"/>
          <w:sz w:val="26"/>
          <w:szCs w:val="26"/>
        </w:rPr>
      </w:pPr>
      <w:bookmarkStart w:id="405" w:name="_Toc422341076"/>
      <w:bookmarkStart w:id="406" w:name="_Toc437010671"/>
      <w:bookmarkStart w:id="407" w:name="_Toc428544991"/>
      <w:r>
        <w:rPr>
          <w:rFonts w:hint="eastAsia" w:ascii="宋体" w:hAnsi="宋体" w:cs="仿宋"/>
          <w:bCs w:val="0"/>
          <w:color w:val="000000"/>
          <w:sz w:val="26"/>
          <w:szCs w:val="26"/>
        </w:rPr>
        <w:t>第一节</w:t>
      </w:r>
      <w:r>
        <w:rPr>
          <w:rFonts w:ascii="宋体" w:hAnsi="宋体" w:cs="仿宋"/>
          <w:bCs w:val="0"/>
          <w:color w:val="000000"/>
          <w:sz w:val="26"/>
          <w:szCs w:val="26"/>
        </w:rPr>
        <w:t xml:space="preserve"> </w:t>
      </w:r>
      <w:r>
        <w:rPr>
          <w:rFonts w:hint="eastAsia" w:ascii="宋体" w:hAnsi="宋体" w:cs="仿宋"/>
          <w:bCs w:val="0"/>
          <w:color w:val="000000"/>
          <w:sz w:val="26"/>
          <w:szCs w:val="26"/>
        </w:rPr>
        <w:t xml:space="preserve"> 完善社会保障</w:t>
      </w:r>
      <w:bookmarkEnd w:id="405"/>
      <w:r>
        <w:rPr>
          <w:rFonts w:hint="eastAsia" w:ascii="宋体" w:hAnsi="宋体" w:cs="仿宋"/>
          <w:bCs w:val="0"/>
          <w:color w:val="000000"/>
          <w:sz w:val="26"/>
          <w:szCs w:val="26"/>
        </w:rPr>
        <w:t>制度</w:t>
      </w:r>
      <w:bookmarkEnd w:id="406"/>
      <w:bookmarkEnd w:id="407"/>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实施全民参保计划，基本实现法定人群全覆盖。完善统账结合的城镇职工基本养老保险制度，构建多层次养老保险体系。推动实现职工基础养老金全国统筹，完善职工养老保险个人账户制度，健全多缴多得激励机制，建立基本养老金合理调整机制。健全医疗保险稳定可持续筹资和报销比例调整机制。全面实施城乡居民大病保险制度，健全重特大疾病救助和疾病应急救助制度。改革医保支付方式，合理控制医疗费用。改进医疗保险个人账户，开展门诊费用统筹。整合城镇居民基本医疗保险和新型农村合作医疗，建立统一的城乡居民基本医疗保险制度，农民工和灵活就业人员依法参加职工基本医疗保险。完善社会保险关系转移接续政策。完善失业、工伤保险制度，将生育保险和基本医疗保险合并实施。发展职业年金、企业年金、商业养老保险。鼓励发展补充医疗保险和商业健康保险。鼓励商业保险机构参与医保经办。健全社会保障财政投入机制，拓宽社会保险资金投资渠道，加强风险管理，提高投资回报率。推进社会保障卡“一卡通”，持卡人口覆盖率75%以上。</w:t>
      </w:r>
    </w:p>
    <w:p>
      <w:pPr>
        <w:pStyle w:val="4"/>
        <w:spacing w:beforeLines="50" w:afterLines="50" w:line="456" w:lineRule="exact"/>
        <w:rPr>
          <w:rFonts w:ascii="宋体" w:hAnsi="宋体" w:cs="仿宋"/>
          <w:bCs w:val="0"/>
          <w:color w:val="000000"/>
          <w:sz w:val="26"/>
          <w:szCs w:val="26"/>
        </w:rPr>
      </w:pPr>
      <w:bookmarkStart w:id="408" w:name="_Toc422341078"/>
      <w:bookmarkStart w:id="409" w:name="_Toc428544992"/>
      <w:bookmarkStart w:id="410" w:name="_Toc437010672"/>
      <w:bookmarkStart w:id="411" w:name="_Toc422341077"/>
      <w:r>
        <w:rPr>
          <w:rFonts w:hint="eastAsia" w:ascii="宋体" w:hAnsi="宋体" w:cs="仿宋"/>
          <w:bCs w:val="0"/>
          <w:color w:val="000000"/>
          <w:sz w:val="26"/>
          <w:szCs w:val="26"/>
        </w:rPr>
        <w:t>第二节  提高住房保障水平</w:t>
      </w:r>
      <w:bookmarkEnd w:id="408"/>
      <w:bookmarkEnd w:id="409"/>
      <w:bookmarkEnd w:id="410"/>
    </w:p>
    <w:p>
      <w:pPr>
        <w:spacing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以解决城镇新居民住房问题为重点，建立健全购租并举的住房供应体系。对具备购房能力的居民，支持通过住房市场购买商品住房；对不具备购房能力的居民，支持通过住房租赁市场租赁居住；对符合条件的住房困难家庭，通过提供公共租赁住房或发放补贴保障住房需求。统筹规划保障性住房、棚户区改造、城镇危旧房和配套设施建设， 推进棚户区改造货币化和“以购代建”、“以租代建”模式，扩大保障性住房有效供给。将居住证持有人纳入城镇住房保障范围。研究制定农民工购房支持政策。完善公租房廉租房并轨制度。多渠道筹集保障性住房房源，鼓励和引导社会资本参与保障性安居工程建设。落实公平合理、公开透明的保障性住房配售、配租政策和监管程序，严格准入和退出制度。扩大住房公积金制度覆盖面，增强中低收入家庭住房资金保障能力。城镇保障性住房覆盖率达到23%。</w:t>
      </w:r>
    </w:p>
    <w:p>
      <w:pPr>
        <w:pStyle w:val="4"/>
        <w:spacing w:beforeLines="50" w:afterLines="50" w:line="456" w:lineRule="exact"/>
        <w:rPr>
          <w:rFonts w:ascii="宋体" w:hAnsi="宋体" w:cs="仿宋"/>
          <w:bCs w:val="0"/>
          <w:color w:val="000000"/>
          <w:sz w:val="26"/>
          <w:szCs w:val="26"/>
        </w:rPr>
      </w:pPr>
      <w:bookmarkStart w:id="412" w:name="_Toc437010673"/>
      <w:bookmarkStart w:id="413" w:name="_Toc428544993"/>
      <w:r>
        <w:rPr>
          <w:rFonts w:hint="eastAsia" w:ascii="宋体" w:hAnsi="宋体" w:cs="仿宋"/>
          <w:bCs w:val="0"/>
          <w:color w:val="000000"/>
          <w:sz w:val="26"/>
          <w:szCs w:val="26"/>
        </w:rPr>
        <w:t>第三节</w:t>
      </w:r>
      <w:r>
        <w:rPr>
          <w:rFonts w:ascii="宋体" w:hAnsi="宋体" w:cs="仿宋"/>
          <w:bCs w:val="0"/>
          <w:color w:val="000000"/>
          <w:sz w:val="26"/>
          <w:szCs w:val="26"/>
        </w:rPr>
        <w:t xml:space="preserve"> </w:t>
      </w:r>
      <w:r>
        <w:rPr>
          <w:rFonts w:hint="eastAsia" w:ascii="宋体" w:hAnsi="宋体" w:cs="仿宋"/>
          <w:bCs w:val="0"/>
          <w:color w:val="000000"/>
          <w:sz w:val="26"/>
          <w:szCs w:val="26"/>
        </w:rPr>
        <w:t xml:space="preserve"> 健全社会救助体系</w:t>
      </w:r>
      <w:bookmarkEnd w:id="411"/>
      <w:bookmarkEnd w:id="412"/>
      <w:bookmarkEnd w:id="413"/>
    </w:p>
    <w:p>
      <w:pPr>
        <w:spacing w:afterLines="50"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托底线、救急难、可持续，统筹救助体系建设，确保困难群众基本生活。完善城乡最低生活保障制度，规范管理、分类施保，实现应保尽保，健全低保标准动态调整机制，逐步提高低保标准和补助水平。对无生活来源、无劳动能力、无法定赡养抚养扶养义务人员等特困群体，实行特困人员供养政策。做好自然灾害、医疗、教育、住房、就业、临时等社会救助。完善社会福利制度，发展慈善事业，做好优抚安置工作。</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专栏30  就业社会保障重点工程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 w:hRule="atLeast"/>
          <w:jc w:val="center"/>
        </w:trPr>
        <w:tc>
          <w:tcPr>
            <w:tcW w:w="6237" w:type="dxa"/>
            <w:vAlign w:val="center"/>
          </w:tcPr>
          <w:p>
            <w:pPr>
              <w:spacing w:line="300" w:lineRule="exact"/>
              <w:rPr>
                <w:rFonts w:ascii="宋体" w:hAnsi="宋体"/>
                <w:color w:val="000000"/>
                <w:sz w:val="18"/>
                <w:szCs w:val="21"/>
              </w:rPr>
            </w:pPr>
            <w:r>
              <w:rPr>
                <w:rFonts w:hint="eastAsia" w:ascii="黑体" w:hAnsi="黑体" w:eastAsia="黑体"/>
                <w:color w:val="000000"/>
                <w:sz w:val="18"/>
                <w:szCs w:val="21"/>
              </w:rPr>
              <w:t>就业创业：</w:t>
            </w:r>
            <w:r>
              <w:rPr>
                <w:rFonts w:hint="eastAsia" w:ascii="宋体" w:hAnsi="宋体"/>
                <w:color w:val="000000"/>
                <w:sz w:val="18"/>
                <w:szCs w:val="21"/>
              </w:rPr>
              <w:t>建设公共就业创业服务设施，大学生实训基地、农民工创业园和培训实训基地，中国-东盟人力资源服务产业园、国际技师学院、（凭祥）技工学校，南宁、柳州公共实训基地等。</w:t>
            </w:r>
          </w:p>
          <w:p>
            <w:pPr>
              <w:spacing w:line="300" w:lineRule="exact"/>
              <w:rPr>
                <w:rFonts w:ascii="楷体_GB2312" w:hAnsi="黑体" w:eastAsia="楷体_GB2312"/>
                <w:color w:val="000000"/>
                <w:sz w:val="24"/>
                <w:szCs w:val="24"/>
              </w:rPr>
            </w:pPr>
            <w:r>
              <w:rPr>
                <w:rFonts w:hint="eastAsia" w:ascii="黑体" w:hAnsi="黑体" w:eastAsia="黑体"/>
                <w:color w:val="000000"/>
                <w:sz w:val="18"/>
                <w:szCs w:val="21"/>
              </w:rPr>
              <w:t>社会保障：</w:t>
            </w:r>
            <w:r>
              <w:rPr>
                <w:rFonts w:hint="eastAsia" w:ascii="宋体" w:hAnsi="宋体"/>
                <w:color w:val="000000"/>
                <w:sz w:val="18"/>
                <w:szCs w:val="21"/>
              </w:rPr>
              <w:t>建设广西社会保障和社会救助服务中心、金保工程二期等。</w:t>
            </w:r>
          </w:p>
        </w:tc>
      </w:tr>
    </w:tbl>
    <w:p>
      <w:pPr>
        <w:pStyle w:val="3"/>
        <w:spacing w:beforeLines="50" w:afterLines="50" w:line="460" w:lineRule="exact"/>
        <w:rPr>
          <w:rFonts w:ascii="宋体" w:hAnsi="宋体" w:cs="黑体"/>
          <w:b/>
          <w:color w:val="000000"/>
          <w:sz w:val="26"/>
          <w:szCs w:val="26"/>
        </w:rPr>
      </w:pPr>
      <w:bookmarkStart w:id="414" w:name="_Toc438458639"/>
      <w:bookmarkStart w:id="415" w:name="_Toc437010674"/>
      <w:bookmarkStart w:id="416" w:name="_Toc428544994"/>
      <w:bookmarkStart w:id="417" w:name="_Toc422341079"/>
      <w:r>
        <w:rPr>
          <w:rFonts w:hint="eastAsia" w:ascii="宋体" w:hAnsi="宋体" w:cs="黑体"/>
          <w:b/>
          <w:color w:val="000000"/>
          <w:sz w:val="26"/>
          <w:szCs w:val="26"/>
        </w:rPr>
        <w:t xml:space="preserve">第四十六章 </w:t>
      </w:r>
      <w:r>
        <w:rPr>
          <w:rFonts w:ascii="宋体" w:hAnsi="宋体" w:cs="黑体"/>
          <w:b/>
          <w:color w:val="000000"/>
          <w:sz w:val="26"/>
          <w:szCs w:val="26"/>
        </w:rPr>
        <w:t xml:space="preserve"> </w:t>
      </w:r>
      <w:r>
        <w:rPr>
          <w:rFonts w:hint="eastAsia" w:ascii="宋体" w:hAnsi="宋体" w:cs="黑体"/>
          <w:b/>
          <w:color w:val="000000"/>
          <w:sz w:val="26"/>
          <w:szCs w:val="26"/>
        </w:rPr>
        <w:t>推进健康广西建设</w:t>
      </w:r>
      <w:bookmarkEnd w:id="414"/>
    </w:p>
    <w:bookmarkEnd w:id="415"/>
    <w:bookmarkEnd w:id="416"/>
    <w:bookmarkEnd w:id="417"/>
    <w:p>
      <w:pPr>
        <w:pStyle w:val="46"/>
        <w:spacing w:line="460" w:lineRule="exact"/>
        <w:ind w:firstLine="520"/>
        <w:rPr>
          <w:rFonts w:ascii="宋体" w:hAnsi="宋体" w:eastAsia="仿宋_GB2312" w:cs="仿宋"/>
          <w:color w:val="000000"/>
          <w:sz w:val="26"/>
          <w:szCs w:val="26"/>
        </w:rPr>
      </w:pPr>
      <w:r>
        <w:rPr>
          <w:rFonts w:hint="eastAsia" w:ascii="宋体" w:hAnsi="宋体" w:eastAsia="仿宋_GB2312" w:cs="仿宋"/>
          <w:color w:val="000000"/>
          <w:sz w:val="26"/>
          <w:szCs w:val="26"/>
        </w:rPr>
        <w:t>深化医药卫生体制改革，健全基本医疗卫生制度，满足城乡居民多层次、多样化医疗卫生需求，提高群众健康水平。</w:t>
      </w:r>
    </w:p>
    <w:p>
      <w:pPr>
        <w:pStyle w:val="4"/>
        <w:spacing w:beforeLines="50" w:afterLines="50" w:line="460" w:lineRule="exact"/>
        <w:rPr>
          <w:rFonts w:ascii="宋体" w:hAnsi="宋体" w:cs="仿宋"/>
          <w:bCs w:val="0"/>
          <w:color w:val="000000"/>
          <w:sz w:val="26"/>
          <w:szCs w:val="26"/>
        </w:rPr>
      </w:pPr>
      <w:bookmarkStart w:id="418" w:name="_Toc422341080"/>
      <w:bookmarkStart w:id="419" w:name="_Toc428544995"/>
      <w:bookmarkStart w:id="420" w:name="_Toc437010675"/>
      <w:r>
        <w:rPr>
          <w:rFonts w:hint="eastAsia" w:ascii="宋体" w:hAnsi="宋体" w:cs="仿宋"/>
          <w:bCs w:val="0"/>
          <w:color w:val="000000"/>
          <w:sz w:val="26"/>
          <w:szCs w:val="26"/>
        </w:rPr>
        <w:t>第一节  实现人人享有基本医疗卫生服务</w:t>
      </w:r>
      <w:bookmarkEnd w:id="418"/>
      <w:bookmarkEnd w:id="419"/>
      <w:bookmarkEnd w:id="420"/>
    </w:p>
    <w:p>
      <w:pPr>
        <w:pStyle w:val="46"/>
        <w:spacing w:line="460" w:lineRule="exact"/>
        <w:ind w:firstLine="520"/>
        <w:rPr>
          <w:rFonts w:ascii="宋体" w:hAnsi="宋体" w:eastAsia="仿宋_GB2312" w:cs="仿宋"/>
          <w:color w:val="000000"/>
          <w:sz w:val="26"/>
          <w:szCs w:val="26"/>
        </w:rPr>
      </w:pPr>
      <w:r>
        <w:rPr>
          <w:rFonts w:hint="eastAsia" w:ascii="宋体" w:hAnsi="宋体" w:eastAsia="仿宋_GB2312" w:cs="仿宋"/>
          <w:color w:val="000000"/>
          <w:sz w:val="26"/>
          <w:szCs w:val="26"/>
        </w:rPr>
        <w:t>坚持预防为主、中西医并重，以农村为重点，普遍建立完善的公共卫生和医疗服务体系、健全的医疗保障体系、规范的药品供应保障体系、高效的医疗卫生管理体制和运行机制，建立健全基本医疗卫生制度，为城乡居民提供</w:t>
      </w:r>
      <w:r>
        <w:rPr>
          <w:rFonts w:hint="eastAsia" w:ascii="宋体" w:hAnsi="宋体" w:eastAsia="仿宋_GB2312"/>
          <w:color w:val="000000"/>
          <w:sz w:val="26"/>
          <w:szCs w:val="26"/>
        </w:rPr>
        <w:t>安全价廉、方便可及</w:t>
      </w:r>
      <w:r>
        <w:rPr>
          <w:rFonts w:hint="eastAsia" w:ascii="宋体" w:hAnsi="宋体" w:eastAsia="仿宋_GB2312" w:cs="仿宋"/>
          <w:color w:val="000000"/>
          <w:sz w:val="26"/>
          <w:szCs w:val="26"/>
        </w:rPr>
        <w:t>的公共卫生和医疗服务。启动全民健康信息化工程，普及应用居民健康卡。加强艾滋病、地中海贫血防治和重大传染病、慢性病、职业病、地方病、精神疾病防治。通过多种方式降低大病慢性病医疗费用。增加艾滋病防治等特殊药物免费供给。完善突发公共卫生事件应急和重大疾病防控机制。孕产妇死亡率控制在18/10万以内，婴儿死亡率控制在8‰以内。</w:t>
      </w:r>
    </w:p>
    <w:p>
      <w:pPr>
        <w:pStyle w:val="4"/>
        <w:spacing w:beforeLines="50" w:afterLines="50" w:line="460" w:lineRule="exact"/>
        <w:rPr>
          <w:rFonts w:ascii="宋体" w:hAnsi="宋体" w:cs="仿宋"/>
          <w:bCs w:val="0"/>
          <w:color w:val="000000"/>
          <w:sz w:val="26"/>
          <w:szCs w:val="26"/>
        </w:rPr>
      </w:pPr>
      <w:bookmarkStart w:id="421" w:name="_Toc437010676"/>
      <w:bookmarkStart w:id="422" w:name="_Toc428544996"/>
      <w:bookmarkStart w:id="423" w:name="_Toc422341081"/>
      <w:r>
        <w:rPr>
          <w:rFonts w:hint="eastAsia" w:ascii="宋体" w:hAnsi="宋体" w:cs="仿宋"/>
          <w:bCs w:val="0"/>
          <w:color w:val="000000"/>
          <w:sz w:val="26"/>
          <w:szCs w:val="26"/>
        </w:rPr>
        <w:t>第二节  深化医药卫生体制改革</w:t>
      </w:r>
      <w:bookmarkEnd w:id="421"/>
      <w:bookmarkEnd w:id="422"/>
      <w:bookmarkEnd w:id="423"/>
    </w:p>
    <w:p>
      <w:pPr>
        <w:pStyle w:val="46"/>
        <w:spacing w:line="444" w:lineRule="exact"/>
        <w:ind w:firstLine="520"/>
        <w:rPr>
          <w:rFonts w:ascii="宋体" w:hAnsi="宋体" w:eastAsia="仿宋_GB2312" w:cs="仿宋"/>
          <w:color w:val="000000"/>
          <w:sz w:val="26"/>
          <w:szCs w:val="26"/>
        </w:rPr>
      </w:pPr>
      <w:r>
        <w:rPr>
          <w:rFonts w:hint="eastAsia" w:ascii="宋体" w:hAnsi="宋体" w:eastAsia="仿宋_GB2312" w:cs="仿宋"/>
          <w:color w:val="000000"/>
          <w:sz w:val="26"/>
          <w:szCs w:val="26"/>
        </w:rPr>
        <w:t>实行医疗、医保、医药联动，推进医药分开，实行分级诊疗，建立覆盖城乡的基本医疗卫生制度和现代医院管理制度。全面推进公立医院综合改革，坚持公益属性，建立符合医疗行业特点的人事薪酬制度。完善医疗卫生机构布局，健全上下联动、衔接互补的医疗服务体系。完善基层医疗服务模式，</w:t>
      </w:r>
      <w:r>
        <w:rPr>
          <w:rFonts w:hint="eastAsia" w:ascii="宋体" w:hAnsi="宋体" w:eastAsia="仿宋_GB2312"/>
          <w:color w:val="000000"/>
          <w:sz w:val="26"/>
          <w:szCs w:val="26"/>
        </w:rPr>
        <w:t>推广县乡医疗服务一体化。</w:t>
      </w:r>
      <w:r>
        <w:rPr>
          <w:rFonts w:hint="eastAsia" w:ascii="宋体" w:hAnsi="宋体" w:eastAsia="仿宋_GB2312" w:cs="仿宋"/>
          <w:color w:val="000000"/>
          <w:sz w:val="26"/>
          <w:szCs w:val="26"/>
        </w:rPr>
        <w:t>拓展社会办医空间，鼓励社会力量兴办健康服务业，落实非营利性民营医院和公立医院同等待遇。推进药品价格改革，完善药品集中采购办法，健全以国家基本药物制度为基础的药品供应保障机制。实施住院医师规范化培训和紧缺卫生专业人才培养工程，做好农村订单定向医学生免费培养，加强乡村医生队伍建设。实施中医药、壮瑶医药品牌工程，积极发展民族医药。加强医疗质量监管，完善纠纷调解机制，构建和谐医患关系。</w:t>
      </w:r>
    </w:p>
    <w:p>
      <w:pPr>
        <w:pStyle w:val="4"/>
        <w:spacing w:beforeLines="50" w:afterLines="50" w:line="444" w:lineRule="exact"/>
        <w:rPr>
          <w:rFonts w:ascii="宋体" w:hAnsi="宋体" w:cs="仿宋"/>
          <w:bCs w:val="0"/>
          <w:color w:val="000000"/>
          <w:sz w:val="26"/>
          <w:szCs w:val="26"/>
        </w:rPr>
      </w:pPr>
      <w:r>
        <w:rPr>
          <w:rFonts w:hint="eastAsia" w:ascii="宋体" w:hAnsi="宋体" w:cs="仿宋"/>
          <w:bCs w:val="0"/>
          <w:color w:val="000000"/>
          <w:sz w:val="26"/>
          <w:szCs w:val="26"/>
        </w:rPr>
        <w:t>第三节  开展全民健身行动</w:t>
      </w:r>
    </w:p>
    <w:p>
      <w:pPr>
        <w:pStyle w:val="46"/>
        <w:spacing w:afterLines="50" w:line="444" w:lineRule="exact"/>
        <w:ind w:firstLine="520"/>
        <w:rPr>
          <w:rFonts w:ascii="宋体" w:hAnsi="宋体" w:eastAsia="仿宋_GB2312" w:cs="仿宋"/>
          <w:color w:val="000000"/>
          <w:sz w:val="26"/>
          <w:szCs w:val="26"/>
        </w:rPr>
      </w:pPr>
      <w:r>
        <w:rPr>
          <w:rFonts w:hint="eastAsia" w:ascii="宋体" w:hAnsi="宋体" w:eastAsia="仿宋_GB2312" w:cs="仿宋"/>
          <w:color w:val="000000"/>
          <w:sz w:val="26"/>
          <w:szCs w:val="26"/>
        </w:rPr>
        <w:t>促进全民健身与竞技体育协调发展，扩大竞技体育群众基础。健全规范有序、富有活力的社会化全民健身组织网络，增强全民健身意识，加强健身活动场所和设施建设，推进公共体育设施免费和低收费开放，发展群众健身休闲项目。实施青少年体育活动促进计划，培育青少年体育爱好和运动技能，青少年体质达标率95%以上。深入实施重振体育雄风计划，推进职业体育改革，促进竞技体育健康发展，鼓励社会力量发展体育产业，建设西部体育强区。</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专栏31  健康广西重点工程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0" w:hRule="atLeast"/>
          <w:jc w:val="center"/>
        </w:trPr>
        <w:tc>
          <w:tcPr>
            <w:tcW w:w="6237" w:type="dxa"/>
            <w:vAlign w:val="center"/>
          </w:tcPr>
          <w:p>
            <w:pPr>
              <w:spacing w:line="300" w:lineRule="exact"/>
              <w:rPr>
                <w:rFonts w:ascii="宋体" w:hAnsi="宋体"/>
                <w:color w:val="000000"/>
                <w:sz w:val="18"/>
                <w:szCs w:val="21"/>
              </w:rPr>
            </w:pPr>
            <w:r>
              <w:rPr>
                <w:rFonts w:hint="eastAsia" w:ascii="黑体" w:hAnsi="黑体" w:eastAsia="黑体"/>
                <w:color w:val="000000"/>
                <w:sz w:val="18"/>
                <w:szCs w:val="21"/>
              </w:rPr>
              <w:t>医疗机构：</w:t>
            </w:r>
            <w:r>
              <w:rPr>
                <w:rFonts w:hint="eastAsia" w:ascii="宋体" w:hAnsi="宋体"/>
                <w:color w:val="000000"/>
                <w:sz w:val="18"/>
                <w:szCs w:val="21"/>
              </w:rPr>
              <w:t>建设自治区级疑难病症诊治能力提升工程，加强设区市及以上医院、县级医院、乡镇卫生院、城镇社区卫生服务机构、妇幼健康和计生服务保障、住院医师培训基地建设。</w:t>
            </w:r>
          </w:p>
          <w:p>
            <w:pPr>
              <w:spacing w:line="300" w:lineRule="exact"/>
              <w:rPr>
                <w:rFonts w:ascii="宋体" w:hAnsi="宋体"/>
                <w:color w:val="000000"/>
                <w:sz w:val="18"/>
                <w:szCs w:val="21"/>
              </w:rPr>
            </w:pPr>
            <w:r>
              <w:rPr>
                <w:rFonts w:hint="eastAsia" w:ascii="黑体" w:hAnsi="黑体" w:eastAsia="黑体"/>
                <w:color w:val="000000"/>
                <w:sz w:val="18"/>
                <w:szCs w:val="21"/>
              </w:rPr>
              <w:t>公共卫生机构：</w:t>
            </w:r>
            <w:r>
              <w:rPr>
                <w:rFonts w:hint="eastAsia" w:ascii="宋体" w:hAnsi="宋体"/>
                <w:color w:val="000000"/>
                <w:sz w:val="18"/>
                <w:szCs w:val="21"/>
              </w:rPr>
              <w:t>建设自治区和市级疾病预防控制中心、采供血机构，自治区级核辐射事件医学救援基地，县级精神卫生机构。</w:t>
            </w:r>
          </w:p>
          <w:p>
            <w:pPr>
              <w:spacing w:line="300" w:lineRule="exact"/>
              <w:rPr>
                <w:rFonts w:ascii="宋体" w:hAnsi="宋体"/>
                <w:color w:val="000000"/>
                <w:sz w:val="18"/>
                <w:szCs w:val="21"/>
              </w:rPr>
            </w:pPr>
            <w:r>
              <w:rPr>
                <w:rFonts w:hint="eastAsia" w:ascii="黑体" w:hAnsi="黑体" w:eastAsia="黑体"/>
                <w:color w:val="000000"/>
                <w:sz w:val="18"/>
                <w:szCs w:val="21"/>
              </w:rPr>
              <w:t>中医药民族医药：</w:t>
            </w:r>
            <w:r>
              <w:rPr>
                <w:rFonts w:hint="eastAsia" w:ascii="宋体" w:hAnsi="宋体"/>
                <w:color w:val="000000"/>
                <w:sz w:val="18"/>
                <w:szCs w:val="21"/>
              </w:rPr>
              <w:t>建设民族医院、中医药专科、中医药科研院所、区域中医医疗中心、中药资源保护、壮瑶医药标准等。</w:t>
            </w:r>
          </w:p>
          <w:p>
            <w:pPr>
              <w:spacing w:line="300" w:lineRule="exact"/>
              <w:rPr>
                <w:rFonts w:ascii="宋体" w:hAnsi="宋体"/>
                <w:color w:val="000000"/>
                <w:sz w:val="18"/>
                <w:szCs w:val="21"/>
              </w:rPr>
            </w:pPr>
            <w:r>
              <w:rPr>
                <w:rFonts w:hint="eastAsia" w:ascii="黑体" w:hAnsi="黑体" w:eastAsia="黑体"/>
                <w:color w:val="000000"/>
                <w:sz w:val="18"/>
                <w:szCs w:val="21"/>
              </w:rPr>
              <w:t>开放合作：</w:t>
            </w:r>
            <w:r>
              <w:rPr>
                <w:rFonts w:hint="eastAsia" w:ascii="宋体" w:hAnsi="宋体"/>
                <w:color w:val="000000"/>
                <w:sz w:val="18"/>
                <w:szCs w:val="21"/>
              </w:rPr>
              <w:t>建设中国-东盟（广西）医疗保健合作中心、中国-东盟传统医药交流合作中心、国际壮医医院等。</w:t>
            </w:r>
          </w:p>
          <w:p>
            <w:pPr>
              <w:spacing w:line="300" w:lineRule="exact"/>
              <w:rPr>
                <w:rFonts w:ascii="宋体" w:hAnsi="宋体"/>
                <w:color w:val="000000"/>
                <w:sz w:val="18"/>
                <w:szCs w:val="21"/>
              </w:rPr>
            </w:pPr>
            <w:r>
              <w:rPr>
                <w:rFonts w:hint="eastAsia" w:ascii="黑体" w:hAnsi="黑体" w:eastAsia="黑体" w:cs="仿宋"/>
                <w:color w:val="000000"/>
                <w:spacing w:val="-4"/>
                <w:sz w:val="18"/>
                <w:szCs w:val="21"/>
              </w:rPr>
              <w:t>体育事业：</w:t>
            </w:r>
            <w:r>
              <w:rPr>
                <w:rFonts w:hint="eastAsia" w:ascii="宋体" w:hAnsi="宋体"/>
                <w:color w:val="000000"/>
                <w:sz w:val="18"/>
                <w:szCs w:val="21"/>
              </w:rPr>
              <w:t>推动广西体育高等专科学校升本科，建设广西体育职业技术学院、市县体育设施惠民、县级体校强基等工程。</w:t>
            </w:r>
          </w:p>
        </w:tc>
      </w:tr>
    </w:tbl>
    <w:p>
      <w:pPr>
        <w:pStyle w:val="3"/>
        <w:spacing w:beforeLines="50" w:afterLines="50" w:line="460" w:lineRule="exact"/>
        <w:rPr>
          <w:rFonts w:ascii="宋体" w:hAnsi="宋体" w:cs="黑体"/>
          <w:b/>
          <w:color w:val="000000"/>
          <w:sz w:val="26"/>
          <w:szCs w:val="26"/>
        </w:rPr>
      </w:pPr>
      <w:bookmarkStart w:id="424" w:name="_Toc438458640"/>
      <w:bookmarkStart w:id="425" w:name="_Toc437010677"/>
      <w:bookmarkStart w:id="426" w:name="_Toc422341083"/>
      <w:bookmarkStart w:id="427" w:name="_Toc428544998"/>
      <w:r>
        <w:rPr>
          <w:rFonts w:hint="eastAsia" w:ascii="宋体" w:hAnsi="宋体" w:cs="黑体"/>
          <w:b/>
          <w:color w:val="000000"/>
          <w:sz w:val="26"/>
          <w:szCs w:val="26"/>
        </w:rPr>
        <w:t>第四十七章  促进人口均衡发展</w:t>
      </w:r>
      <w:bookmarkEnd w:id="424"/>
    </w:p>
    <w:p>
      <w:pPr>
        <w:spacing w:afterLines="50"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坚持计划生育基本国策，完善人口发展战略，积极应对人口老龄化，促进人口与经济社会协调发展。</w:t>
      </w:r>
    </w:p>
    <w:p>
      <w:pPr>
        <w:pStyle w:val="4"/>
        <w:spacing w:beforeLines="50" w:afterLines="50" w:line="460" w:lineRule="exact"/>
        <w:rPr>
          <w:rFonts w:ascii="宋体" w:hAnsi="宋体" w:cs="仿宋"/>
          <w:bCs w:val="0"/>
          <w:color w:val="000000"/>
          <w:sz w:val="26"/>
          <w:szCs w:val="26"/>
        </w:rPr>
      </w:pPr>
      <w:r>
        <w:rPr>
          <w:rFonts w:hint="eastAsia" w:ascii="宋体" w:hAnsi="宋体" w:cs="仿宋"/>
          <w:bCs w:val="0"/>
          <w:color w:val="000000"/>
          <w:sz w:val="26"/>
          <w:szCs w:val="26"/>
        </w:rPr>
        <w:t>第一节  完善人口发展战略</w:t>
      </w:r>
    </w:p>
    <w:p>
      <w:pPr>
        <w:spacing w:afterLines="50"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制定人口中长期发展规划，落实全面两孩政策，改革完善计划生育服务管理。提高生殖健康、妇幼保健、托幼等公共服务水平，加强健康教育、优生咨询、高危人群指导、孕前筛查等计生服务工作，降低出生缺陷发生率和农村5岁以下儿童生长迟缓率，提高出生人口质量，综合治理出生人口性别失衡问题，出生人口性别比下降3个百分点。建立</w:t>
      </w:r>
      <w:r>
        <w:rPr>
          <w:rFonts w:hint="eastAsia" w:ascii="宋体" w:hAnsi="宋体" w:eastAsia="仿宋_GB2312" w:cs="仿宋_GB2312"/>
          <w:color w:val="000000"/>
          <w:sz w:val="26"/>
          <w:szCs w:val="26"/>
        </w:rPr>
        <w:t>以公民身份证号码为唯一标识、依法记录、查询评估的人口信息管理制度。</w:t>
      </w:r>
      <w:r>
        <w:rPr>
          <w:rFonts w:hint="eastAsia" w:ascii="宋体" w:hAnsi="宋体" w:eastAsia="仿宋_GB2312" w:cs="仿宋"/>
          <w:color w:val="000000"/>
          <w:sz w:val="26"/>
          <w:szCs w:val="26"/>
        </w:rPr>
        <w:t>保障妇女合法权益，加强未成年人保护，支持残疾人事业发展。开展农村“三留守”人员关爱行动，实现留守儿童健康成长、留守妇女安居乐业、留守老人安享晚年。</w:t>
      </w:r>
    </w:p>
    <w:p>
      <w:pPr>
        <w:pStyle w:val="4"/>
        <w:spacing w:beforeLines="50" w:afterLines="50" w:line="460" w:lineRule="exact"/>
        <w:rPr>
          <w:rFonts w:ascii="宋体" w:hAnsi="宋体" w:cs="仿宋"/>
          <w:bCs w:val="0"/>
          <w:color w:val="000000"/>
          <w:sz w:val="26"/>
          <w:szCs w:val="26"/>
        </w:rPr>
      </w:pPr>
      <w:r>
        <w:rPr>
          <w:rFonts w:hint="eastAsia" w:ascii="宋体" w:hAnsi="宋体" w:cs="仿宋"/>
          <w:bCs w:val="0"/>
          <w:color w:val="000000"/>
          <w:sz w:val="26"/>
          <w:szCs w:val="26"/>
        </w:rPr>
        <w:t>第二节  建设养老服务业综合改革试验区</w:t>
      </w:r>
    </w:p>
    <w:p>
      <w:pPr>
        <w:spacing w:afterLines="50" w:line="460" w:lineRule="exact"/>
        <w:ind w:firstLine="520" w:firstLineChars="200"/>
        <w:rPr>
          <w:rFonts w:ascii="宋体" w:hAnsi="宋体" w:eastAsia="仿宋_GB2312" w:cs="仿宋"/>
          <w:color w:val="000000"/>
          <w:sz w:val="32"/>
          <w:szCs w:val="32"/>
        </w:rPr>
      </w:pPr>
      <w:r>
        <w:rPr>
          <w:rFonts w:hint="eastAsia" w:ascii="宋体" w:hAnsi="宋体" w:eastAsia="仿宋_GB2312" w:cs="仿宋"/>
          <w:color w:val="000000"/>
          <w:sz w:val="26"/>
          <w:szCs w:val="26"/>
        </w:rPr>
        <w:t>积极开展应对人口老龄化行动，建设以居家为基础、社区为依托、机构为补充的多层次养老服务体系，推动医疗卫生与养老服务相结合。健全社区老年人服务功能，发展社区居家养老服务。加强社会福利院、农村敬老院、光荣院等公益性养老机构建设，提供基本普惠的养老服务。探索建立长期护理保险制度。开展老龄科研，加强专业化养老服务护理人员和管理人才队伍建设。全面放开养老服务市场，通过购买服务、股权合作等方式支持各类市场主体增加养老服务和产品供给。发挥良好的生态和长寿养生资源优势，大力发展特色养老服务产业和集聚区，建成国家养老服务业基地、世界休闲养生胜地和健康养老服务业国际合作区。</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专栏32  人口发展重点工程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9" w:hRule="atLeast"/>
          <w:jc w:val="center"/>
        </w:trPr>
        <w:tc>
          <w:tcPr>
            <w:tcW w:w="6237" w:type="dxa"/>
            <w:vAlign w:val="center"/>
          </w:tcPr>
          <w:p>
            <w:pPr>
              <w:spacing w:line="320" w:lineRule="exact"/>
              <w:rPr>
                <w:rFonts w:ascii="宋体" w:hAnsi="宋体"/>
                <w:color w:val="000000"/>
                <w:sz w:val="18"/>
                <w:szCs w:val="21"/>
              </w:rPr>
            </w:pPr>
            <w:r>
              <w:rPr>
                <w:rFonts w:hint="eastAsia" w:ascii="黑体" w:hAnsi="黑体" w:eastAsia="黑体"/>
                <w:color w:val="000000"/>
                <w:sz w:val="18"/>
                <w:szCs w:val="21"/>
              </w:rPr>
              <w:t>人口发展：</w:t>
            </w:r>
            <w:r>
              <w:rPr>
                <w:rFonts w:hint="eastAsia" w:ascii="宋体" w:hAnsi="宋体"/>
                <w:color w:val="000000"/>
                <w:sz w:val="18"/>
                <w:szCs w:val="21"/>
              </w:rPr>
              <w:t>建设</w:t>
            </w:r>
            <w:r>
              <w:rPr>
                <w:rFonts w:hint="eastAsia" w:ascii="宋体" w:hAnsi="宋体" w:cs="仿宋"/>
                <w:color w:val="000000"/>
                <w:sz w:val="18"/>
                <w:szCs w:val="21"/>
              </w:rPr>
              <w:t>人口基础信息库、</w:t>
            </w:r>
            <w:r>
              <w:rPr>
                <w:rFonts w:hint="eastAsia" w:ascii="宋体" w:hAnsi="宋体"/>
                <w:color w:val="000000"/>
                <w:sz w:val="18"/>
                <w:szCs w:val="21"/>
              </w:rPr>
              <w:t>人口发展动态监测预警、人口健康信息化工程、金人工程二期。</w:t>
            </w:r>
          </w:p>
          <w:p>
            <w:pPr>
              <w:spacing w:line="320" w:lineRule="exact"/>
              <w:rPr>
                <w:rFonts w:ascii="黑体" w:hAnsi="黑体" w:eastAsia="黑体"/>
                <w:color w:val="000000"/>
                <w:szCs w:val="21"/>
              </w:rPr>
            </w:pPr>
            <w:r>
              <w:rPr>
                <w:rFonts w:hint="eastAsia" w:ascii="黑体" w:hAnsi="黑体" w:eastAsia="黑体"/>
                <w:color w:val="000000"/>
                <w:sz w:val="18"/>
                <w:szCs w:val="21"/>
              </w:rPr>
              <w:t>养老服务：</w:t>
            </w:r>
            <w:r>
              <w:rPr>
                <w:rFonts w:hint="eastAsia" w:ascii="宋体" w:hAnsi="宋体"/>
                <w:color w:val="000000"/>
                <w:sz w:val="18"/>
                <w:szCs w:val="21"/>
              </w:rPr>
              <w:t>自治区本级建成1所1000张床位以上的综合性养老机构，每个设区市建成1所500张床位以上的专业性养护机构，每个县改造建成1所200张床位以上的综合性福利机构，有条件乡镇改造或新建1所100张床位以上的农村养老服务中心，城镇社区居家养老服务中心基本覆盖。</w:t>
            </w:r>
          </w:p>
        </w:tc>
      </w:tr>
    </w:tbl>
    <w:p>
      <w:pPr>
        <w:pStyle w:val="3"/>
        <w:spacing w:beforeLines="80" w:afterLines="50" w:line="460" w:lineRule="exact"/>
        <w:rPr>
          <w:rFonts w:ascii="宋体" w:hAnsi="宋体" w:cs="黑体"/>
          <w:b/>
          <w:color w:val="000000"/>
          <w:sz w:val="26"/>
          <w:szCs w:val="26"/>
        </w:rPr>
      </w:pPr>
      <w:bookmarkStart w:id="428" w:name="_Toc438458641"/>
      <w:r>
        <w:rPr>
          <w:rFonts w:hint="eastAsia" w:ascii="宋体" w:hAnsi="宋体" w:cs="黑体"/>
          <w:b/>
          <w:color w:val="000000"/>
          <w:sz w:val="26"/>
          <w:szCs w:val="26"/>
        </w:rPr>
        <w:t>第四十八章</w:t>
      </w:r>
      <w:r>
        <w:rPr>
          <w:rFonts w:ascii="宋体" w:hAnsi="宋体" w:cs="黑体"/>
          <w:b/>
          <w:color w:val="000000"/>
          <w:sz w:val="26"/>
          <w:szCs w:val="26"/>
        </w:rPr>
        <w:t xml:space="preserve"> </w:t>
      </w:r>
      <w:r>
        <w:rPr>
          <w:rFonts w:hint="eastAsia" w:ascii="宋体" w:hAnsi="宋体" w:cs="黑体"/>
          <w:b/>
          <w:color w:val="000000"/>
          <w:sz w:val="26"/>
          <w:szCs w:val="26"/>
        </w:rPr>
        <w:t xml:space="preserve"> 持续增加城乡居民收入</w:t>
      </w:r>
      <w:bookmarkEnd w:id="425"/>
      <w:bookmarkEnd w:id="426"/>
      <w:bookmarkEnd w:id="427"/>
      <w:bookmarkEnd w:id="428"/>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深化收入分配改革，坚持居民收入增长和经济增长同步、劳动报酬提高和劳动生产率提高同步。深入实施城乡居民收入倍增计划，多渠道增加居民财产性收入。健全科学的工资水平决定机制、正常增长机制、支付保障机制，推行企业工资集体协商制度，落实最低工资增长机制。健全劳动、资本、知识、技术、管理等要素报酬由市场决定机制。推进机关事业单位工资和津补贴制度改革。增加低收入者收入，扩大中等收入比重，规范收入分配秩序，逐步缩小城乡区域和行业收入差距。建立自然人收入和财产信息系统。完善现代支付和收入统计监测体系。</w:t>
      </w:r>
    </w:p>
    <w:p>
      <w:pPr>
        <w:pStyle w:val="3"/>
        <w:spacing w:beforeLines="50" w:afterLines="50" w:line="460" w:lineRule="exact"/>
        <w:rPr>
          <w:rFonts w:ascii="宋体" w:hAnsi="宋体" w:cs="黑体"/>
          <w:b/>
          <w:color w:val="000000"/>
          <w:sz w:val="26"/>
          <w:szCs w:val="26"/>
        </w:rPr>
      </w:pPr>
      <w:bookmarkStart w:id="429" w:name="_Toc437010678"/>
      <w:bookmarkStart w:id="430" w:name="_Toc428544999"/>
      <w:bookmarkStart w:id="431" w:name="_Toc422341084"/>
      <w:bookmarkStart w:id="432" w:name="_Toc438458642"/>
      <w:r>
        <w:rPr>
          <w:rFonts w:hint="eastAsia" w:ascii="宋体" w:hAnsi="宋体" w:cs="黑体"/>
          <w:b/>
          <w:color w:val="000000"/>
          <w:sz w:val="26"/>
          <w:szCs w:val="26"/>
        </w:rPr>
        <w:t>第四十九章</w:t>
      </w:r>
      <w:r>
        <w:rPr>
          <w:rFonts w:ascii="宋体" w:hAnsi="宋体" w:cs="黑体"/>
          <w:b/>
          <w:color w:val="000000"/>
          <w:sz w:val="26"/>
          <w:szCs w:val="26"/>
        </w:rPr>
        <w:t xml:space="preserve"> </w:t>
      </w:r>
      <w:r>
        <w:rPr>
          <w:rFonts w:hint="eastAsia" w:ascii="宋体" w:hAnsi="宋体" w:cs="黑体"/>
          <w:b/>
          <w:color w:val="000000"/>
          <w:sz w:val="26"/>
          <w:szCs w:val="26"/>
        </w:rPr>
        <w:t xml:space="preserve"> 增加公共服务</w:t>
      </w:r>
      <w:bookmarkEnd w:id="429"/>
      <w:bookmarkEnd w:id="430"/>
      <w:bookmarkEnd w:id="431"/>
      <w:r>
        <w:rPr>
          <w:rFonts w:hint="eastAsia" w:ascii="宋体" w:hAnsi="宋体" w:cs="黑体"/>
          <w:b/>
          <w:color w:val="000000"/>
          <w:sz w:val="26"/>
          <w:szCs w:val="26"/>
        </w:rPr>
        <w:t>供给</w:t>
      </w:r>
      <w:bookmarkEnd w:id="432"/>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加大义务教育、就业服务、社会保障、住房保障、基本医疗和公共卫生、公共文化、环境保护等基本公共服务供给，努力实现城乡居民全覆盖。实行基本公共服务项目和标准动态调整机制，促进城乡区域间服务项目和标准衔接。增强县级公共服务供给能力，优化公共服务提供网点布局和资源整合，破解服务群众“最后一公里”难题。创新公共服务供给方式，根据人口流动趋势配置公共服务资源。推行政府购买公共服务目录或清单制，推进政府与社会资本结合，促进公共服务供给社会化、多元化，能由政府购买服务提供的，政府不再直接承办；能由政府和社会资本合作提供的，广泛吸引社会资本参与。</w:t>
      </w:r>
    </w:p>
    <w:p>
      <w:pPr>
        <w:pStyle w:val="2"/>
        <w:spacing w:beforeLines="50" w:afterLines="80" w:line="460" w:lineRule="exact"/>
        <w:rPr>
          <w:rFonts w:ascii="宋体" w:hAnsi="宋体" w:cs="黑体"/>
          <w:color w:val="000000"/>
          <w:sz w:val="26"/>
          <w:szCs w:val="26"/>
        </w:rPr>
      </w:pPr>
      <w:bookmarkStart w:id="433" w:name="_Toc422341089"/>
      <w:bookmarkStart w:id="434" w:name="_Toc428545000"/>
      <w:bookmarkStart w:id="435" w:name="_Toc437010679"/>
      <w:bookmarkStart w:id="436" w:name="_Toc438458643"/>
      <w:r>
        <w:rPr>
          <w:rFonts w:hint="eastAsia" w:ascii="宋体" w:hAnsi="宋体" w:cs="黑体"/>
          <w:color w:val="000000"/>
          <w:sz w:val="26"/>
          <w:szCs w:val="26"/>
        </w:rPr>
        <w:t>第十二篇  传承发展  完善覆盖城乡的现代公共文化服务体系</w:t>
      </w:r>
      <w:bookmarkEnd w:id="433"/>
      <w:bookmarkEnd w:id="434"/>
      <w:bookmarkEnd w:id="435"/>
      <w:bookmarkEnd w:id="436"/>
    </w:p>
    <w:p>
      <w:pPr>
        <w:spacing w:line="45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 xml:space="preserve">加快推进文化改革创新，大力发展文化事业和文化产业，建成具有时代特征、壮乡风格、和谐兼容的民族文化强区。 </w:t>
      </w:r>
    </w:p>
    <w:p>
      <w:pPr>
        <w:pStyle w:val="3"/>
        <w:spacing w:beforeLines="50" w:afterLines="50" w:line="450" w:lineRule="exact"/>
        <w:rPr>
          <w:rFonts w:ascii="宋体" w:hAnsi="宋体" w:cs="黑体"/>
          <w:b/>
          <w:color w:val="000000"/>
          <w:sz w:val="26"/>
          <w:szCs w:val="26"/>
        </w:rPr>
      </w:pPr>
      <w:bookmarkStart w:id="437" w:name="_Toc428545001"/>
      <w:bookmarkStart w:id="438" w:name="_Toc438458644"/>
      <w:bookmarkStart w:id="439" w:name="_Toc437010680"/>
      <w:r>
        <w:rPr>
          <w:rFonts w:hint="eastAsia" w:ascii="宋体" w:hAnsi="宋体" w:cs="黑体"/>
          <w:b/>
          <w:color w:val="000000"/>
          <w:sz w:val="26"/>
          <w:szCs w:val="26"/>
        </w:rPr>
        <w:t>第五十章  提高公民文明素质</w:t>
      </w:r>
      <w:bookmarkEnd w:id="437"/>
      <w:bookmarkEnd w:id="438"/>
      <w:bookmarkEnd w:id="439"/>
    </w:p>
    <w:p>
      <w:pPr>
        <w:spacing w:line="45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邓小平理论、“三个代表”重要思想、科学发展观和习近平总书记系列重要讲话精神，用中国梦和社会主义核心价值观凝聚共识、汇聚力量。深入开展爱国主义、集体主义、社会主义教育，倡导科学精神、时代精神和广西精神，加强思想道德和社会诚信建设，增强国家意识、法治意识、社会责任意识。加强社会公德、职业道德、家庭美德、个人品德教育，弘扬中华传统美德，普及科学知识，提高公民道德素质和科学素养。加强文明城市、文明村镇、文明单位、文明家庭等精神文明创建，形成积极向上的精神追求和健康文明的生活风尚。加强网络思想文化阵地建设，发展健康的网络文化，向青少年传导正确价值取向。推动志愿服务制度化、规范化、常态化。繁荣发展哲学社会科学，加强特色新型智库建设，培育一批高端智库。</w:t>
      </w:r>
    </w:p>
    <w:p>
      <w:pPr>
        <w:pStyle w:val="3"/>
        <w:spacing w:beforeLines="50" w:afterLines="50" w:line="460" w:lineRule="exact"/>
        <w:rPr>
          <w:rFonts w:ascii="宋体" w:hAnsi="宋体" w:cs="黑体"/>
          <w:b/>
          <w:color w:val="000000"/>
          <w:sz w:val="26"/>
          <w:szCs w:val="26"/>
        </w:rPr>
      </w:pPr>
      <w:bookmarkStart w:id="440" w:name="_Toc438458645"/>
      <w:bookmarkStart w:id="441" w:name="_Toc437010681"/>
      <w:bookmarkStart w:id="442" w:name="_Toc428545002"/>
      <w:r>
        <w:rPr>
          <w:rFonts w:hint="eastAsia" w:ascii="宋体" w:hAnsi="宋体" w:cs="黑体"/>
          <w:b/>
          <w:color w:val="000000"/>
          <w:sz w:val="26"/>
          <w:szCs w:val="26"/>
        </w:rPr>
        <w:t>第五十一章  增强公共文化服务能力</w:t>
      </w:r>
    </w:p>
    <w:bookmarkEnd w:id="440"/>
    <w:bookmarkEnd w:id="441"/>
    <w:bookmarkEnd w:id="442"/>
    <w:p>
      <w:pPr>
        <w:spacing w:line="460" w:lineRule="exact"/>
        <w:ind w:firstLine="536" w:firstLineChars="200"/>
        <w:rPr>
          <w:rFonts w:ascii="宋体" w:hAnsi="宋体" w:eastAsia="仿宋_GB2312" w:cs="仿宋"/>
          <w:color w:val="000000"/>
          <w:spacing w:val="4"/>
          <w:sz w:val="26"/>
          <w:szCs w:val="26"/>
        </w:rPr>
      </w:pPr>
      <w:r>
        <w:rPr>
          <w:rFonts w:hint="eastAsia" w:ascii="宋体" w:hAnsi="宋体" w:eastAsia="仿宋_GB2312" w:cs="仿宋"/>
          <w:color w:val="000000"/>
          <w:spacing w:val="4"/>
          <w:sz w:val="26"/>
          <w:szCs w:val="26"/>
        </w:rPr>
        <w:t>建立政府主导、市场和社会共同参与的公共文化服务体系，完善建设、管理、运行和保障机制。加大文化事业投入力度，实施文化惠民和公共文化工程，推进城乡基本公共文化服务标准化、均等化，丰富群众精神文化生活。实施文化精品工程，扶持优秀文化产品创作，推出系列文艺精品，打造“美丽南方·广西”文化新名片。积极培养文化名家，培育基层文体骨干和带头人，大力发展民族文化、红色文化、山水文化、海洋文化、丝路文化。推动传统媒体与新兴媒体融合发展，加快媒体数字化建设，打造一批新型主流媒体。深入开展送文化下基层活动，加强惠民演出和节假日演出，打造民族节庆和驻场演出品牌，鼓励群众自办文化体育，搭建群众文化展示交流平台。加强地方文化立法，建设民族文化生态保护区，建立非物质文化遗产四级名录体系和保护机制，开展民族优秀传统文化普及活动并纳入国民教育，促进保护传承与创新发展。支持革命老区、民族地区和边境地区文化建设，加强公共文化服务体系示范基地建设，力争公共文化服务广覆盖、高水平、重实效。</w:t>
      </w:r>
    </w:p>
    <w:p>
      <w:pPr>
        <w:pStyle w:val="3"/>
        <w:spacing w:beforeLines="50" w:afterLines="50" w:line="456" w:lineRule="exact"/>
        <w:rPr>
          <w:rFonts w:ascii="宋体" w:hAnsi="宋体" w:cs="黑体"/>
          <w:b/>
          <w:color w:val="000000"/>
          <w:sz w:val="26"/>
          <w:szCs w:val="26"/>
        </w:rPr>
      </w:pPr>
      <w:bookmarkStart w:id="443" w:name="_Toc428545003"/>
      <w:bookmarkStart w:id="444" w:name="_Toc422341092"/>
      <w:bookmarkStart w:id="445" w:name="_Toc437010682"/>
      <w:bookmarkStart w:id="446" w:name="_Toc438458646"/>
      <w:r>
        <w:rPr>
          <w:rFonts w:hint="eastAsia" w:ascii="宋体" w:hAnsi="宋体" w:cs="黑体"/>
          <w:b/>
          <w:color w:val="000000"/>
          <w:sz w:val="26"/>
          <w:szCs w:val="26"/>
        </w:rPr>
        <w:t xml:space="preserve">第五十二章 </w:t>
      </w:r>
      <w:r>
        <w:rPr>
          <w:rFonts w:ascii="宋体" w:hAnsi="宋体" w:cs="黑体"/>
          <w:b/>
          <w:color w:val="000000"/>
          <w:sz w:val="26"/>
          <w:szCs w:val="26"/>
        </w:rPr>
        <w:t xml:space="preserve"> </w:t>
      </w:r>
      <w:bookmarkEnd w:id="443"/>
      <w:bookmarkEnd w:id="444"/>
      <w:r>
        <w:rPr>
          <w:rFonts w:hint="eastAsia" w:ascii="宋体" w:hAnsi="宋体" w:cs="黑体"/>
          <w:b/>
          <w:color w:val="000000"/>
          <w:sz w:val="26"/>
          <w:szCs w:val="26"/>
        </w:rPr>
        <w:t>推动文化产业跨越发展</w:t>
      </w:r>
      <w:bookmarkEnd w:id="445"/>
      <w:bookmarkEnd w:id="446"/>
    </w:p>
    <w:p>
      <w:pPr>
        <w:spacing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完善文化产业发展政策，强化重大项目带动，大力发展文化创意、影视服务、广告服务、印刷出版、旅游演艺、数字内容与动漫游戏、文化会展等文化产业，积极发展运动休闲、体育培训、商业赛事等体育产业，推进文化体育与科技、信息、旅游融合发展，培育数字文化、网络文化等新型业态，文化产业增加值占比提高到4%以上。深入推进文化事业单位改革重组，培育骨干文化企业和文化品牌，建设文化产业园区和产业基地，发展文化产业集群，扩大和引导文化消费，培育消费热点。支持各地因地制宜发展特色文化产业，打造柳州运动休闲之都。</w:t>
      </w:r>
    </w:p>
    <w:p>
      <w:pPr>
        <w:pStyle w:val="3"/>
        <w:spacing w:beforeLines="50" w:afterLines="50" w:line="456" w:lineRule="exact"/>
        <w:rPr>
          <w:rFonts w:ascii="宋体" w:hAnsi="宋体" w:cs="黑体"/>
          <w:b/>
          <w:color w:val="000000"/>
          <w:sz w:val="26"/>
          <w:szCs w:val="26"/>
        </w:rPr>
      </w:pPr>
      <w:bookmarkStart w:id="447" w:name="_Toc422341093"/>
      <w:bookmarkStart w:id="448" w:name="_Toc428545004"/>
      <w:bookmarkStart w:id="449" w:name="_Toc437010683"/>
      <w:bookmarkStart w:id="450" w:name="_Toc438458647"/>
      <w:r>
        <w:rPr>
          <w:rFonts w:hint="eastAsia" w:ascii="宋体" w:hAnsi="宋体" w:cs="黑体"/>
          <w:b/>
          <w:color w:val="000000"/>
          <w:sz w:val="26"/>
          <w:szCs w:val="26"/>
        </w:rPr>
        <w:t>第五十三章</w:t>
      </w:r>
      <w:r>
        <w:rPr>
          <w:rFonts w:ascii="宋体" w:hAnsi="宋体" w:cs="黑体"/>
          <w:b/>
          <w:color w:val="000000"/>
          <w:sz w:val="26"/>
          <w:szCs w:val="26"/>
        </w:rPr>
        <w:t xml:space="preserve"> </w:t>
      </w:r>
      <w:r>
        <w:rPr>
          <w:rFonts w:hint="eastAsia" w:ascii="宋体" w:hAnsi="宋体" w:cs="黑体"/>
          <w:b/>
          <w:color w:val="000000"/>
          <w:sz w:val="26"/>
          <w:szCs w:val="26"/>
        </w:rPr>
        <w:t xml:space="preserve"> 提升文化区域影响力</w:t>
      </w:r>
      <w:bookmarkEnd w:id="447"/>
      <w:bookmarkEnd w:id="448"/>
      <w:bookmarkEnd w:id="449"/>
      <w:bookmarkEnd w:id="450"/>
    </w:p>
    <w:p>
      <w:pPr>
        <w:spacing w:afterLines="50"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推动文化走出去，加强文化对外传播与交流。支持文化企业采取国际合作、委托代理、建设出口基地等方式，参与境外艺术节、图书展、影视展，以及境外舞台演出、非物质文化遗产展示等国际文化活动，扩大文化产品和服务贸易出口。加强文化对外传播能力建设，创新对外传播、文化交流、文化贸易方式，构建面向东盟的网络广播电视台，塑造南宁国际民歌艺术节等文化品牌，促进与东盟文化体育交流，建设全国区域性文化中心、中国—东盟文化交流枢纽、中国文化走向东盟的主力省区。</w:t>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60" w:lineRule="exact"/>
              <w:jc w:val="center"/>
              <w:rPr>
                <w:rFonts w:ascii="黑体" w:eastAsia="黑体"/>
                <w:color w:val="000000"/>
                <w:szCs w:val="30"/>
              </w:rPr>
            </w:pPr>
            <w:r>
              <w:rPr>
                <w:rFonts w:hint="eastAsia" w:ascii="黑体" w:hAnsi="黑体" w:eastAsia="黑体" w:cs="仿宋_GB2312"/>
                <w:color w:val="000000"/>
                <w:szCs w:val="24"/>
              </w:rPr>
              <w:t>专栏33  文化事业和文化产业重点工程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1" w:hRule="atLeast"/>
          <w:jc w:val="center"/>
        </w:trPr>
        <w:tc>
          <w:tcPr>
            <w:tcW w:w="6237" w:type="dxa"/>
            <w:vAlign w:val="center"/>
          </w:tcPr>
          <w:p>
            <w:pPr>
              <w:spacing w:line="300" w:lineRule="exact"/>
              <w:rPr>
                <w:rFonts w:ascii="宋体" w:hAnsi="宋体" w:cs="仿宋"/>
                <w:color w:val="000000"/>
                <w:sz w:val="18"/>
                <w:szCs w:val="21"/>
              </w:rPr>
            </w:pPr>
            <w:r>
              <w:rPr>
                <w:rFonts w:hint="eastAsia" w:ascii="黑体" w:hAnsi="黑体" w:eastAsia="黑体" w:cs="仿宋"/>
                <w:color w:val="000000"/>
                <w:sz w:val="18"/>
                <w:szCs w:val="21"/>
              </w:rPr>
              <w:t>文化惠民和公共文化：</w:t>
            </w:r>
            <w:r>
              <w:rPr>
                <w:rFonts w:hint="eastAsia" w:ascii="宋体" w:hAnsi="宋体" w:cs="仿宋"/>
                <w:color w:val="000000"/>
                <w:sz w:val="18"/>
                <w:szCs w:val="21"/>
              </w:rPr>
              <w:t>建设文化馆（群艺馆）、博物馆、图书馆、科技馆、档案馆、工人文化宫、妇女儿童活动中心、青少年活动场所等公共文化服务设施和爱国主义教育示范基地。继续推动公益性文化设施免费开放。</w:t>
            </w:r>
          </w:p>
          <w:p>
            <w:pPr>
              <w:spacing w:line="300" w:lineRule="exact"/>
              <w:rPr>
                <w:rFonts w:ascii="宋体" w:hAnsi="宋体" w:cs="仿宋"/>
                <w:color w:val="000000"/>
                <w:sz w:val="18"/>
                <w:szCs w:val="21"/>
              </w:rPr>
            </w:pPr>
            <w:r>
              <w:rPr>
                <w:rFonts w:hint="eastAsia" w:ascii="黑体" w:hAnsi="黑体" w:eastAsia="黑体" w:cs="仿宋"/>
                <w:color w:val="000000"/>
                <w:sz w:val="18"/>
                <w:szCs w:val="21"/>
              </w:rPr>
              <w:t>文化和自然遗产保护：</w:t>
            </w:r>
            <w:r>
              <w:rPr>
                <w:rFonts w:hint="eastAsia" w:ascii="宋体" w:hAnsi="宋体" w:cs="仿宋"/>
                <w:color w:val="000000"/>
                <w:sz w:val="18"/>
                <w:szCs w:val="21"/>
              </w:rPr>
              <w:t>加强国家和自治区重点文物保护单位，历史文化名城名镇名村，传统村落，少数民族特色村寨和民居，民族文物、传统建筑、标志性建筑、重要史迹和自然遗产地的保护与维修，建设壮族文化生态保护区。推进左江花山岩画文化景观、海上丝绸之路北海史迹、灵渠、三江侗族村寨申报世界文化遗产工作，建设中越边境非物质文化遗产保护示范带。</w:t>
            </w:r>
          </w:p>
          <w:p>
            <w:pPr>
              <w:spacing w:line="300" w:lineRule="exact"/>
              <w:rPr>
                <w:rFonts w:ascii="宋体" w:hAnsi="宋体" w:cs="仿宋"/>
                <w:color w:val="000000"/>
                <w:sz w:val="18"/>
                <w:szCs w:val="21"/>
              </w:rPr>
            </w:pPr>
            <w:r>
              <w:rPr>
                <w:rFonts w:hint="eastAsia" w:ascii="黑体" w:hAnsi="黑体" w:eastAsia="黑体" w:cs="仿宋"/>
                <w:color w:val="000000"/>
                <w:sz w:val="18"/>
                <w:szCs w:val="21"/>
              </w:rPr>
              <w:t>文化产业：</w:t>
            </w:r>
            <w:r>
              <w:rPr>
                <w:rFonts w:hint="eastAsia" w:ascii="宋体" w:hAnsi="宋体" w:cs="仿宋"/>
                <w:color w:val="000000"/>
                <w:sz w:val="18"/>
                <w:szCs w:val="21"/>
              </w:rPr>
              <w:t>建设广西文化产业城、桂林创意文化产业园、南宁动漫试验园、南宁东盟文化博览园、梧州亚太文化创意园、钦州坭兴陶文化创意产业园、百色红色文化园、北海文化创意产业园、河池长寿文化产业园、广西工业设计城、柳州工业设计产业园、广西文化艺术品产权交易所、南宁和桂林印刷出版产业园、广西黄姚古镇旅游文化产业园等。</w:t>
            </w:r>
          </w:p>
          <w:p>
            <w:pPr>
              <w:spacing w:line="300" w:lineRule="exact"/>
              <w:rPr>
                <w:rFonts w:ascii="宋体" w:hAnsi="宋体" w:cs="仿宋"/>
                <w:color w:val="000000"/>
                <w:sz w:val="18"/>
                <w:szCs w:val="32"/>
              </w:rPr>
            </w:pPr>
            <w:r>
              <w:rPr>
                <w:rFonts w:hint="eastAsia" w:ascii="黑体" w:hAnsi="黑体" w:eastAsia="黑体" w:cs="仿宋"/>
                <w:color w:val="000000"/>
                <w:sz w:val="18"/>
                <w:szCs w:val="21"/>
              </w:rPr>
              <w:t>国际文化合作：</w:t>
            </w:r>
            <w:r>
              <w:rPr>
                <w:rFonts w:hint="eastAsia" w:ascii="宋体" w:hAnsi="宋体" w:cs="仿宋"/>
                <w:color w:val="000000"/>
                <w:sz w:val="18"/>
                <w:szCs w:val="21"/>
              </w:rPr>
              <w:t>办好中国-东盟文化论坛、电视交流论坛、文化产业展览、电影展映、东盟中国图书展销会暨版权贸易洽谈会、桂林国际山水文化旅游节等，中国-东盟文化产业（传媒）人才培养基地和网络视听产业基地。</w:t>
            </w:r>
          </w:p>
        </w:tc>
      </w:tr>
    </w:tbl>
    <w:p>
      <w:pPr>
        <w:pStyle w:val="2"/>
        <w:spacing w:beforeLines="80" w:afterLines="80" w:line="460" w:lineRule="exact"/>
        <w:rPr>
          <w:rFonts w:ascii="宋体" w:hAnsi="宋体" w:cs="黑体"/>
          <w:color w:val="000000"/>
          <w:sz w:val="26"/>
          <w:szCs w:val="26"/>
        </w:rPr>
      </w:pPr>
      <w:bookmarkStart w:id="451" w:name="_Toc438458648"/>
      <w:bookmarkStart w:id="452" w:name="_Toc437010684"/>
      <w:bookmarkStart w:id="453" w:name="_Toc428545005"/>
      <w:bookmarkStart w:id="454" w:name="_Toc422341094"/>
      <w:r>
        <w:rPr>
          <w:rFonts w:hint="eastAsia" w:ascii="宋体" w:hAnsi="宋体" w:cs="黑体"/>
          <w:color w:val="000000"/>
          <w:sz w:val="26"/>
          <w:szCs w:val="26"/>
        </w:rPr>
        <w:t>第十三篇  创新治理  促进社会和谐包容发展</w:t>
      </w:r>
      <w:bookmarkEnd w:id="451"/>
      <w:bookmarkEnd w:id="452"/>
      <w:bookmarkEnd w:id="453"/>
      <w:bookmarkEnd w:id="454"/>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适应社会转型新形势，创新社会治理，推进法治建设，确保民族团结和睦、边疆安宁巩固、社会安定有序、人民安居乐业，进一步提升群众安全感和满意度。</w:t>
      </w:r>
    </w:p>
    <w:p>
      <w:pPr>
        <w:pStyle w:val="3"/>
        <w:spacing w:beforeLines="50" w:afterLines="50" w:line="456" w:lineRule="exact"/>
        <w:rPr>
          <w:rFonts w:ascii="宋体" w:hAnsi="宋体" w:cs="黑体"/>
          <w:b/>
          <w:color w:val="000000"/>
          <w:sz w:val="26"/>
          <w:szCs w:val="26"/>
        </w:rPr>
      </w:pPr>
      <w:bookmarkStart w:id="455" w:name="_Toc437010685"/>
      <w:bookmarkStart w:id="456" w:name="_Toc438458649"/>
      <w:bookmarkStart w:id="457" w:name="_Toc428545006"/>
      <w:bookmarkStart w:id="458" w:name="_Toc422341095"/>
      <w:r>
        <w:rPr>
          <w:rFonts w:hint="eastAsia" w:ascii="宋体" w:hAnsi="宋体" w:cs="黑体"/>
          <w:b/>
          <w:color w:val="000000"/>
          <w:sz w:val="26"/>
          <w:szCs w:val="26"/>
        </w:rPr>
        <w:t>第五十四章</w:t>
      </w:r>
      <w:r>
        <w:rPr>
          <w:rFonts w:ascii="宋体" w:hAnsi="宋体" w:cs="黑体"/>
          <w:b/>
          <w:color w:val="000000"/>
          <w:sz w:val="26"/>
          <w:szCs w:val="26"/>
        </w:rPr>
        <w:t xml:space="preserve"> </w:t>
      </w:r>
      <w:r>
        <w:rPr>
          <w:rFonts w:hint="eastAsia" w:ascii="宋体" w:hAnsi="宋体" w:cs="黑体"/>
          <w:b/>
          <w:color w:val="000000"/>
          <w:sz w:val="26"/>
          <w:szCs w:val="26"/>
        </w:rPr>
        <w:t xml:space="preserve"> 加强和创新社会治理</w:t>
      </w:r>
      <w:bookmarkEnd w:id="455"/>
      <w:bookmarkEnd w:id="456"/>
      <w:bookmarkEnd w:id="457"/>
      <w:bookmarkEnd w:id="458"/>
    </w:p>
    <w:p>
      <w:pPr>
        <w:spacing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加强社会治理基础制度建设，构建共建共享的社会治理格局，提高社会治理精细化水平，使社会既充满活力又安定和谐。</w:t>
      </w:r>
    </w:p>
    <w:p>
      <w:pPr>
        <w:pStyle w:val="4"/>
        <w:spacing w:beforeLines="50" w:afterLines="50" w:line="456" w:lineRule="exact"/>
        <w:ind w:firstLine="1547" w:firstLineChars="0"/>
        <w:rPr>
          <w:rFonts w:ascii="宋体" w:hAnsi="宋体" w:cs="仿宋"/>
          <w:bCs w:val="0"/>
          <w:color w:val="000000"/>
          <w:sz w:val="26"/>
          <w:szCs w:val="26"/>
        </w:rPr>
        <w:pPrChange w:id="8" w:author="Lenovo" w:date="2015-06-16T15:01:00Z">
          <w:pPr>
            <w:pStyle w:val="4"/>
            <w:spacing w:line="580" w:lineRule="exact"/>
            <w:ind w:firstLine="1547" w:firstLineChars="595"/>
          </w:pPr>
        </w:pPrChange>
      </w:pPr>
      <w:bookmarkStart w:id="459" w:name="_Toc437010686"/>
      <w:bookmarkStart w:id="460" w:name="_Toc428545007"/>
      <w:bookmarkStart w:id="461" w:name="_Toc422341096"/>
      <w:r>
        <w:rPr>
          <w:rFonts w:hint="eastAsia" w:ascii="宋体" w:hAnsi="宋体" w:cs="仿宋"/>
          <w:bCs w:val="0"/>
          <w:color w:val="000000"/>
          <w:sz w:val="26"/>
          <w:szCs w:val="26"/>
        </w:rPr>
        <w:t>第一节  完善社会治理</w:t>
      </w:r>
      <w:bookmarkEnd w:id="459"/>
      <w:bookmarkEnd w:id="460"/>
      <w:bookmarkEnd w:id="461"/>
      <w:r>
        <w:rPr>
          <w:rFonts w:hint="eastAsia" w:ascii="宋体" w:hAnsi="宋体" w:cs="仿宋"/>
          <w:bCs w:val="0"/>
          <w:color w:val="000000"/>
          <w:sz w:val="26"/>
          <w:szCs w:val="26"/>
        </w:rPr>
        <w:t>体系</w:t>
      </w:r>
    </w:p>
    <w:p>
      <w:pPr>
        <w:spacing w:line="456" w:lineRule="exact"/>
        <w:ind w:firstLine="520" w:firstLineChars="200"/>
        <w:rPr>
          <w:rFonts w:ascii="宋体" w:hAnsi="宋体" w:eastAsia="仿宋_GB2312" w:cs="仿宋"/>
          <w:color w:val="000000"/>
          <w:spacing w:val="-4"/>
          <w:sz w:val="26"/>
          <w:szCs w:val="26"/>
        </w:rPr>
      </w:pPr>
      <w:r>
        <w:rPr>
          <w:rFonts w:hint="eastAsia" w:ascii="宋体" w:hAnsi="宋体" w:eastAsia="仿宋_GB2312" w:cs="仿宋"/>
          <w:color w:val="000000"/>
          <w:sz w:val="26"/>
          <w:szCs w:val="26"/>
        </w:rPr>
        <w:t>完善党委领导、政府主导、社会协同、公众参与、法治保障的</w:t>
      </w:r>
      <w:r>
        <w:rPr>
          <w:rFonts w:hint="eastAsia" w:ascii="宋体" w:hAnsi="宋体" w:eastAsia="仿宋_GB2312" w:cs="仿宋"/>
          <w:color w:val="000000"/>
          <w:spacing w:val="-4"/>
          <w:sz w:val="26"/>
          <w:szCs w:val="26"/>
        </w:rPr>
        <w:t>社会治理体制，创新治理理念，改进治理方式，提高政府治理能力和水平。加强系统治理、综合治理、源头治理，运用现代技术改进社会治理手段，推进社会治理精细化。优化行政执法运作机制，加强重点领域基层执法力量，健全行政执法责任配套制度，全面落实行政执法责任制和执法经费由财政保障制度。实行网格化管理、社会化服务，建立健全基层综合服务管理平台，协调解决社会各方利益诉求。完善公众参与治理的制度化渠道，对关系公众切身利益的重大决策和重大工程项目，以居民会议、议事协商等方式征求公众意见建议。创新有效预防和化解社会矛盾机制，完善人民调解、行政调解、司法调解联动工作体系，建立依法维权和调处化解矛盾纠纷综合机制。完善群众诉求表达机制，建立涉法涉诉信访依法终结制度。</w:t>
      </w:r>
    </w:p>
    <w:p>
      <w:pPr>
        <w:pStyle w:val="4"/>
        <w:spacing w:beforeLines="50" w:afterLines="50" w:line="456" w:lineRule="exact"/>
        <w:rPr>
          <w:rFonts w:ascii="宋体" w:hAnsi="宋体" w:cs="仿宋"/>
          <w:bCs w:val="0"/>
          <w:color w:val="000000"/>
          <w:sz w:val="26"/>
          <w:szCs w:val="26"/>
        </w:rPr>
      </w:pPr>
      <w:bookmarkStart w:id="462" w:name="_Toc437010687"/>
      <w:bookmarkStart w:id="463" w:name="_Toc428545008"/>
      <w:bookmarkStart w:id="464" w:name="_Toc422341097"/>
      <w:r>
        <w:rPr>
          <w:rFonts w:hint="eastAsia" w:ascii="宋体" w:hAnsi="宋体" w:cs="仿宋"/>
          <w:bCs w:val="0"/>
          <w:color w:val="000000"/>
          <w:sz w:val="26"/>
          <w:szCs w:val="26"/>
        </w:rPr>
        <w:t>第二节  发挥社会组织</w:t>
      </w:r>
      <w:bookmarkEnd w:id="462"/>
      <w:bookmarkEnd w:id="463"/>
      <w:bookmarkEnd w:id="464"/>
      <w:r>
        <w:rPr>
          <w:rFonts w:hint="eastAsia" w:ascii="宋体" w:hAnsi="宋体" w:cs="仿宋"/>
          <w:bCs w:val="0"/>
          <w:color w:val="000000"/>
          <w:sz w:val="26"/>
          <w:szCs w:val="26"/>
        </w:rPr>
        <w:t>作用</w:t>
      </w:r>
    </w:p>
    <w:p>
      <w:pPr>
        <w:spacing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加强城乡社区建设，构建社区管理和服务平台，健全社区管理和服务机制，完善基层群众自治功能。稳步发展各类社会组织，推动社会组织依法参与公共服务、社会管理、社区服务、公益慈善等活动，适合由社会组织提供的公共服务和解决的事项，交由社会组织承担和发挥作用。推进社区工作者队伍职业化，发展志愿服务组织，注册志愿者人数占居民人口比例达到13%。培育发展行业协会商会类、科技类、公益慈善类、城乡社区服务类社会组织。加强对社会组织和在华境外非政府组织的管理，引导其依法开展活动。发挥工会、共青团、妇联、残联等群团组织在社会治理中的桥梁纽带作用。</w:t>
      </w:r>
    </w:p>
    <w:p>
      <w:pPr>
        <w:pStyle w:val="4"/>
        <w:spacing w:beforeLines="50" w:afterLines="50" w:line="456" w:lineRule="exact"/>
        <w:rPr>
          <w:rFonts w:ascii="宋体" w:hAnsi="宋体" w:cs="仿宋"/>
          <w:bCs w:val="0"/>
          <w:color w:val="000000"/>
          <w:sz w:val="26"/>
          <w:szCs w:val="26"/>
        </w:rPr>
      </w:pPr>
      <w:r>
        <w:rPr>
          <w:rFonts w:hint="eastAsia" w:ascii="宋体" w:hAnsi="宋体" w:cs="仿宋"/>
          <w:bCs w:val="0"/>
          <w:color w:val="000000"/>
          <w:sz w:val="26"/>
          <w:szCs w:val="26"/>
        </w:rPr>
        <w:t>第三节  建设社会信用体系</w:t>
      </w:r>
    </w:p>
    <w:p>
      <w:pPr>
        <w:spacing w:afterLines="50" w:line="444"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推进政务诚信、商务诚信、社会诚信、司法公信等领域信用建设，推进信用信息共享，提高全社会诚信水平，2020年建成社会信用体系框架和运行机制。建立健全信用制度和信用标准体系，实施统一的社会信用代码制度，健全高效的信用信息共享平台，逐步实现跨行业、跨地区的信用信息交换与共享。加快建设小微企业信用工程、农村信用体系示范工程、诚信商（园）区信用工程。强化信用信息安全管理。加强诚信教育与诚信文化建设，构建守信激励和失信惩戒机制，建立黑名单制度和市场强制退出机制。培育信用服务市场，支持征信、信用评级机构发展。</w:t>
      </w:r>
    </w:p>
    <w:p>
      <w:pPr>
        <w:pStyle w:val="4"/>
        <w:spacing w:beforeLines="50" w:afterLines="50" w:line="444" w:lineRule="exact"/>
        <w:rPr>
          <w:rFonts w:ascii="宋体" w:hAnsi="宋体" w:cs="仿宋"/>
          <w:bCs w:val="0"/>
          <w:color w:val="000000"/>
          <w:sz w:val="26"/>
          <w:szCs w:val="26"/>
        </w:rPr>
      </w:pPr>
      <w:bookmarkStart w:id="465" w:name="_Toc437010688"/>
      <w:bookmarkStart w:id="466" w:name="_Toc422341098"/>
      <w:bookmarkStart w:id="467" w:name="_Toc428545009"/>
      <w:r>
        <w:rPr>
          <w:rFonts w:hint="eastAsia" w:ascii="宋体" w:hAnsi="宋体" w:cs="仿宋"/>
          <w:bCs w:val="0"/>
          <w:color w:val="000000"/>
          <w:sz w:val="26"/>
          <w:szCs w:val="26"/>
        </w:rPr>
        <w:t>第四节  健全公共安全体系</w:t>
      </w:r>
      <w:bookmarkEnd w:id="465"/>
      <w:bookmarkEnd w:id="466"/>
      <w:bookmarkEnd w:id="467"/>
    </w:p>
    <w:p>
      <w:pPr>
        <w:spacing w:afterLines="50" w:line="444"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实施食品药品安全战略，严把从农田到餐桌、从实验室到医院的每道防线，形成严密高效、社会共治的食品药品安全治理体系，让人民群众饮食用药安全放心。落实安全生产责任和管理制度，加强安全生产基层基础保障能力建设，建立健全事故隐患排查治理体系和重大事故风险预防控制体系，加大安全监管力度，坚决遏制重特大事故发生。统筹推进地震、气象、消防和防灾减灾能力建设，提高防灾减灾监测预警、灾害防御和紧急救援水平。健全打防管控一体化运作的立体化社会治安防控体系，严密防范和惩治各类违法犯罪活动，维护人民生命财产安全，群众安全感达到90%以上。重点防范和打击“三股势力”破坏活动，妥善处置涉及民族、宗教等因素的社会问题。加强流动人口服务管理，创新特殊人群服务管理方式。推动建立健全执法安全国际合作机制。完善预警预测、信息报告、应急处置等机制。加大依法管理网络力度。</w:t>
      </w:r>
    </w:p>
    <w:p>
      <w:pPr>
        <w:spacing w:line="100" w:lineRule="exact"/>
        <w:ind w:firstLine="576" w:firstLineChars="180"/>
        <w:rPr>
          <w:rFonts w:ascii="宋体" w:hAnsi="宋体" w:eastAsia="仿宋_GB2312" w:cs="仿宋"/>
          <w:color w:val="000000"/>
          <w:sz w:val="32"/>
          <w:szCs w:val="32"/>
        </w:rPr>
      </w:pPr>
      <w:r>
        <w:rPr>
          <w:rFonts w:ascii="宋体" w:hAnsi="宋体" w:eastAsia="仿宋_GB2312" w:cs="仿宋"/>
          <w:color w:val="000000"/>
          <w:sz w:val="32"/>
          <w:szCs w:val="32"/>
        </w:rPr>
        <w:br w:type="page"/>
      </w:r>
    </w:p>
    <w:tbl>
      <w:tblPr>
        <w:tblStyle w:val="21"/>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237" w:type="dxa"/>
            <w:vAlign w:val="center"/>
          </w:tcPr>
          <w:p>
            <w:pPr>
              <w:spacing w:line="300" w:lineRule="exact"/>
              <w:jc w:val="center"/>
              <w:rPr>
                <w:rFonts w:ascii="黑体" w:eastAsia="黑体"/>
                <w:color w:val="000000"/>
                <w:szCs w:val="30"/>
              </w:rPr>
            </w:pPr>
            <w:r>
              <w:rPr>
                <w:rFonts w:hint="eastAsia" w:ascii="黑体" w:hAnsi="黑体" w:eastAsia="黑体" w:cs="仿宋_GB2312"/>
                <w:color w:val="000000"/>
                <w:szCs w:val="24"/>
              </w:rPr>
              <w:t>专栏34  社会治理重点工程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2" w:hRule="atLeast"/>
          <w:jc w:val="center"/>
        </w:trPr>
        <w:tc>
          <w:tcPr>
            <w:tcW w:w="6237" w:type="dxa"/>
          </w:tcPr>
          <w:p>
            <w:pPr>
              <w:spacing w:line="300" w:lineRule="exact"/>
              <w:rPr>
                <w:rFonts w:ascii="宋体" w:hAnsi="宋体" w:cs="仿宋"/>
                <w:color w:val="000000"/>
                <w:sz w:val="18"/>
                <w:szCs w:val="21"/>
              </w:rPr>
            </w:pPr>
            <w:r>
              <w:rPr>
                <w:rFonts w:hint="eastAsia" w:ascii="黑体" w:hAnsi="黑体" w:eastAsia="黑体" w:cs="仿宋"/>
                <w:color w:val="000000"/>
                <w:sz w:val="18"/>
                <w:szCs w:val="21"/>
              </w:rPr>
              <w:t>社区服务平台：</w:t>
            </w:r>
            <w:r>
              <w:rPr>
                <w:rFonts w:hint="eastAsia" w:ascii="宋体" w:hAnsi="宋体" w:cs="仿宋"/>
                <w:color w:val="000000"/>
                <w:sz w:val="18"/>
                <w:szCs w:val="21"/>
              </w:rPr>
              <w:t>建设城乡社区服务体系、社区服务信息网络等。</w:t>
            </w:r>
          </w:p>
          <w:p>
            <w:pPr>
              <w:spacing w:line="300" w:lineRule="exact"/>
              <w:rPr>
                <w:rFonts w:ascii="宋体" w:hAnsi="宋体" w:cs="仿宋"/>
                <w:color w:val="000000"/>
                <w:sz w:val="18"/>
                <w:szCs w:val="21"/>
              </w:rPr>
            </w:pPr>
            <w:r>
              <w:rPr>
                <w:rFonts w:hint="eastAsia" w:ascii="黑体" w:hAnsi="黑体" w:eastAsia="黑体" w:cs="仿宋"/>
                <w:color w:val="000000"/>
                <w:sz w:val="18"/>
                <w:szCs w:val="21"/>
              </w:rPr>
              <w:t>食品药品安全：</w:t>
            </w:r>
            <w:r>
              <w:rPr>
                <w:rFonts w:hint="eastAsia" w:ascii="宋体" w:hAnsi="宋体" w:cs="仿宋"/>
                <w:color w:val="000000"/>
                <w:sz w:val="18"/>
                <w:szCs w:val="21"/>
              </w:rPr>
              <w:t>建设农产品质量安全监管和食品药品监管、基层安全监管、风险监测与评估、检验检测等体系，以及中国-东盟食品药品安全监管与合作基地、珠江-西江经济带食品药品安全监管合作基地等。</w:t>
            </w:r>
          </w:p>
          <w:p>
            <w:pPr>
              <w:spacing w:line="300" w:lineRule="exact"/>
              <w:rPr>
                <w:rFonts w:ascii="宋体" w:hAnsi="宋体" w:cs="仿宋"/>
                <w:color w:val="000000"/>
                <w:sz w:val="18"/>
                <w:szCs w:val="21"/>
              </w:rPr>
            </w:pPr>
            <w:r>
              <w:rPr>
                <w:rFonts w:hint="eastAsia" w:ascii="黑体" w:hAnsi="黑体" w:eastAsia="黑体" w:cs="仿宋"/>
                <w:color w:val="000000"/>
                <w:sz w:val="18"/>
                <w:szCs w:val="21"/>
              </w:rPr>
              <w:t>社会信用：</w:t>
            </w:r>
            <w:r>
              <w:rPr>
                <w:rFonts w:hint="eastAsia" w:ascii="宋体" w:hAnsi="宋体" w:cs="仿宋"/>
                <w:color w:val="000000"/>
                <w:sz w:val="18"/>
                <w:szCs w:val="21"/>
              </w:rPr>
              <w:t>建设国家法人单位信用资源库广西项目库等。</w:t>
            </w:r>
          </w:p>
          <w:p>
            <w:pPr>
              <w:spacing w:line="300" w:lineRule="exact"/>
              <w:rPr>
                <w:rFonts w:ascii="宋体" w:hAnsi="宋体" w:cs="仿宋"/>
                <w:color w:val="000000"/>
                <w:sz w:val="18"/>
                <w:szCs w:val="21"/>
              </w:rPr>
            </w:pPr>
            <w:r>
              <w:rPr>
                <w:rFonts w:hint="eastAsia" w:ascii="黑体" w:hAnsi="黑体" w:eastAsia="黑体" w:cs="仿宋"/>
                <w:color w:val="000000"/>
                <w:sz w:val="18"/>
                <w:szCs w:val="21"/>
              </w:rPr>
              <w:t>安全生产：</w:t>
            </w:r>
            <w:r>
              <w:rPr>
                <w:rFonts w:hint="eastAsia" w:ascii="宋体" w:hAnsi="宋体" w:cs="仿宋"/>
                <w:color w:val="000000"/>
                <w:sz w:val="18"/>
                <w:szCs w:val="21"/>
              </w:rPr>
              <w:t>建设广西安全工程职业技术学院、中国-东盟安全生产警示教育基地、广西安全生产应急救援基地和安全生产技术中心二期。加强北部湾石化灭火救援能力建设。</w:t>
            </w:r>
          </w:p>
          <w:p>
            <w:pPr>
              <w:spacing w:line="300" w:lineRule="exact"/>
              <w:rPr>
                <w:rFonts w:ascii="宋体" w:hAnsi="宋体" w:cs="仿宋"/>
                <w:color w:val="000000"/>
                <w:sz w:val="18"/>
                <w:szCs w:val="21"/>
              </w:rPr>
            </w:pPr>
            <w:r>
              <w:rPr>
                <w:rFonts w:hint="eastAsia" w:ascii="黑体" w:hAnsi="黑体" w:eastAsia="黑体" w:cs="仿宋"/>
                <w:color w:val="000000"/>
                <w:sz w:val="18"/>
                <w:szCs w:val="21"/>
              </w:rPr>
              <w:t>应急管理：</w:t>
            </w:r>
            <w:r>
              <w:rPr>
                <w:rFonts w:hint="eastAsia" w:ascii="宋体" w:hAnsi="宋体" w:cs="仿宋"/>
                <w:color w:val="000000"/>
                <w:sz w:val="18"/>
                <w:szCs w:val="21"/>
              </w:rPr>
              <w:t>建设全区应急平台、城乡应急基础设施、应急物资储备、应急指挥中心和中国-东盟应急培训基地等。</w:t>
            </w:r>
          </w:p>
          <w:p>
            <w:pPr>
              <w:spacing w:line="300" w:lineRule="exact"/>
              <w:rPr>
                <w:rFonts w:ascii="宋体" w:hAnsi="宋体" w:cs="仿宋"/>
                <w:color w:val="000000"/>
                <w:szCs w:val="21"/>
              </w:rPr>
            </w:pPr>
            <w:r>
              <w:rPr>
                <w:rFonts w:hint="eastAsia" w:ascii="黑体" w:hAnsi="黑体" w:eastAsia="黑体" w:cs="仿宋"/>
                <w:color w:val="000000"/>
                <w:sz w:val="18"/>
                <w:szCs w:val="21"/>
              </w:rPr>
              <w:t>社会治安：</w:t>
            </w:r>
            <w:r>
              <w:rPr>
                <w:rFonts w:hint="eastAsia" w:ascii="宋体" w:hAnsi="宋体" w:cs="仿宋"/>
                <w:color w:val="000000"/>
                <w:sz w:val="18"/>
                <w:szCs w:val="21"/>
              </w:rPr>
              <w:t>加强司法基层基础能力、防恐反恐、禁毒、消防、监狱指挥系统和治安指挥系统建设。建设基层综合服务管理平台、综治信息处理系统等。</w:t>
            </w:r>
          </w:p>
        </w:tc>
      </w:tr>
    </w:tbl>
    <w:p>
      <w:pPr>
        <w:pStyle w:val="3"/>
        <w:spacing w:beforeLines="50" w:afterLines="50" w:line="460" w:lineRule="exact"/>
        <w:rPr>
          <w:rFonts w:ascii="宋体" w:hAnsi="宋体" w:cs="黑体"/>
          <w:b/>
          <w:color w:val="000000"/>
          <w:sz w:val="26"/>
          <w:szCs w:val="26"/>
        </w:rPr>
      </w:pPr>
      <w:bookmarkStart w:id="468" w:name="_Toc422341099"/>
      <w:bookmarkStart w:id="469" w:name="_Toc428545010"/>
      <w:bookmarkStart w:id="470" w:name="_Toc437010689"/>
      <w:bookmarkStart w:id="471" w:name="_Toc438458650"/>
      <w:r>
        <w:rPr>
          <w:rFonts w:hint="eastAsia" w:ascii="宋体" w:hAnsi="宋体" w:cs="黑体"/>
          <w:b/>
          <w:color w:val="000000"/>
          <w:sz w:val="26"/>
          <w:szCs w:val="26"/>
        </w:rPr>
        <w:t>第五十五章</w:t>
      </w:r>
      <w:r>
        <w:rPr>
          <w:rFonts w:ascii="宋体" w:hAnsi="宋体" w:cs="黑体"/>
          <w:b/>
          <w:color w:val="000000"/>
          <w:sz w:val="26"/>
          <w:szCs w:val="26"/>
        </w:rPr>
        <w:t xml:space="preserve"> </w:t>
      </w:r>
      <w:r>
        <w:rPr>
          <w:rFonts w:hint="eastAsia" w:ascii="宋体" w:hAnsi="宋体" w:cs="黑体"/>
          <w:b/>
          <w:color w:val="000000"/>
          <w:sz w:val="26"/>
          <w:szCs w:val="26"/>
        </w:rPr>
        <w:t xml:space="preserve"> 健全民主法</w:t>
      </w:r>
      <w:bookmarkEnd w:id="468"/>
      <w:r>
        <w:rPr>
          <w:rFonts w:hint="eastAsia" w:ascii="宋体" w:hAnsi="宋体" w:cs="黑体"/>
          <w:b/>
          <w:color w:val="000000"/>
          <w:sz w:val="26"/>
          <w:szCs w:val="26"/>
        </w:rPr>
        <w:t>治</w:t>
      </w:r>
      <w:bookmarkEnd w:id="469"/>
      <w:bookmarkEnd w:id="470"/>
      <w:bookmarkEnd w:id="471"/>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坚持党的领导、人民当家作主和依法治国有机统一，全面推进法治建设，建设法治广西。</w:t>
      </w:r>
    </w:p>
    <w:p>
      <w:pPr>
        <w:pStyle w:val="4"/>
        <w:spacing w:beforeLines="50" w:afterLines="50" w:line="460" w:lineRule="exact"/>
        <w:rPr>
          <w:rFonts w:ascii="宋体" w:hAnsi="宋体" w:cs="仿宋"/>
          <w:bCs w:val="0"/>
          <w:color w:val="000000"/>
          <w:sz w:val="26"/>
          <w:szCs w:val="26"/>
        </w:rPr>
      </w:pPr>
      <w:bookmarkStart w:id="472" w:name="_Toc428545012"/>
      <w:bookmarkStart w:id="473" w:name="_Toc437010690"/>
      <w:r>
        <w:rPr>
          <w:rFonts w:hint="eastAsia" w:ascii="宋体" w:hAnsi="宋体" w:cs="仿宋"/>
          <w:bCs w:val="0"/>
          <w:color w:val="000000"/>
          <w:sz w:val="26"/>
          <w:szCs w:val="26"/>
        </w:rPr>
        <w:t>第一节  促进民族团结进步</w:t>
      </w:r>
      <w:bookmarkEnd w:id="472"/>
      <w:bookmarkEnd w:id="473"/>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全面贯彻落实党的民族政策，坚持和完善民族区域自治制度，推动各民族和睦相处、和衷共济、和谐发展。广泛开展民族团结进步宣传教育和创建活动，传承弘扬民族文化，加大对少数民族聚居区的扶持力度。保障少数民族合法权益，不断巩固和发展平等团结互助和谐的社会主义民族关系。认真落实好中央对民族地区实行的支持政策，优化转移支付机制，促进少数民族聚居区跨越发展。积极筹划广西壮族自治区成立60周年庆祝活动，推进一批重大项目建设，让各族群众得到更多实惠。</w:t>
      </w:r>
    </w:p>
    <w:p>
      <w:pPr>
        <w:pStyle w:val="4"/>
        <w:spacing w:beforeLines="50" w:afterLines="50" w:line="460" w:lineRule="exact"/>
        <w:rPr>
          <w:rFonts w:ascii="宋体" w:hAnsi="宋体" w:cs="仿宋"/>
          <w:bCs w:val="0"/>
          <w:color w:val="000000"/>
          <w:sz w:val="26"/>
          <w:szCs w:val="26"/>
        </w:rPr>
      </w:pPr>
      <w:bookmarkStart w:id="474" w:name="_Toc422341100"/>
      <w:bookmarkStart w:id="475" w:name="_Toc437010691"/>
      <w:bookmarkStart w:id="476" w:name="_Toc428545011"/>
      <w:r>
        <w:rPr>
          <w:rFonts w:hint="eastAsia" w:ascii="宋体" w:hAnsi="宋体" w:cs="仿宋"/>
          <w:bCs w:val="0"/>
          <w:color w:val="000000"/>
          <w:sz w:val="26"/>
          <w:szCs w:val="26"/>
        </w:rPr>
        <w:t>第二节  发展社会主义民主</w:t>
      </w:r>
      <w:bookmarkEnd w:id="474"/>
      <w:r>
        <w:rPr>
          <w:rFonts w:hint="eastAsia" w:ascii="宋体" w:hAnsi="宋体" w:cs="仿宋"/>
          <w:bCs w:val="0"/>
          <w:color w:val="000000"/>
          <w:sz w:val="26"/>
          <w:szCs w:val="26"/>
        </w:rPr>
        <w:t>政治</w:t>
      </w:r>
      <w:bookmarkEnd w:id="475"/>
      <w:bookmarkEnd w:id="476"/>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和完善人民代表大会制度、中国共产党领导的多党合作和政治协商制度、民族区域自治制度和基层群众自治制度，推进社会主义政治制度自我完善和发展。健全民主制度，丰富民主形式，依法实行民主选举、民主决策、民主管理、民主监督，保障人民知情权、参与权、表达权和监督权，实现基层民主参选率90%以上。自觉接受各级人大和政协监督，健全人大代表议案、建议和政协提案办理工作机制。开展形式多样的基层民主协商，推进基层协商制度化。完善村务公开、居务公开、民主评议等，加强公众监督评估。广泛接受社会公众和新闻舆论监督，引导互联网理性表达诉求。全面贯彻党的民族和宗教政策，落实侨务政策。</w:t>
      </w:r>
    </w:p>
    <w:p>
      <w:pPr>
        <w:pStyle w:val="4"/>
        <w:spacing w:beforeLines="50" w:afterLines="50" w:line="460" w:lineRule="exact"/>
        <w:rPr>
          <w:rFonts w:ascii="宋体" w:hAnsi="宋体" w:cs="仿宋"/>
          <w:bCs w:val="0"/>
          <w:color w:val="000000"/>
          <w:sz w:val="26"/>
          <w:szCs w:val="26"/>
        </w:rPr>
      </w:pPr>
      <w:bookmarkStart w:id="477" w:name="_Toc437010692"/>
      <w:bookmarkStart w:id="478" w:name="_Toc428545013"/>
      <w:bookmarkStart w:id="479" w:name="_Toc422341101"/>
      <w:r>
        <w:rPr>
          <w:rFonts w:hint="eastAsia" w:ascii="宋体" w:hAnsi="宋体" w:cs="仿宋"/>
          <w:bCs w:val="0"/>
          <w:color w:val="000000"/>
          <w:sz w:val="26"/>
          <w:szCs w:val="26"/>
        </w:rPr>
        <w:t>第三节  全面推进法治建设</w:t>
      </w:r>
      <w:bookmarkEnd w:id="477"/>
      <w:bookmarkEnd w:id="478"/>
      <w:bookmarkEnd w:id="479"/>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坚持立法先行，完善立法体制机制，深入推进科学立法、民主立法，抓好重点领域区域立法，提高地方立法质量。稳步推进设区市行使地方立法权工作。深入推进依法行政，全面履行政府职能，规范行政权力，强化严格执法，建设法治政府。推进司法体制改革，构建公共法律服务体系，健全司法权力运行机制，规范司法行为，加强对司法活动的监管，提高司法公信力，努力让人民群众在每一个司法案件中感受到公平正义。深入开展法治宣传教育，坚持法治与德治相结合，弘扬社会主义法治精神，创建具有广西特点的法治文化，促进全区各族人民尊法学法守法用法。加强法治工作队伍建设。</w:t>
      </w:r>
    </w:p>
    <w:p>
      <w:pPr>
        <w:pStyle w:val="3"/>
        <w:spacing w:beforeLines="50" w:afterLines="50" w:line="460" w:lineRule="exact"/>
        <w:rPr>
          <w:rFonts w:ascii="宋体" w:hAnsi="宋体" w:cs="黑体"/>
          <w:b/>
          <w:color w:val="000000"/>
          <w:sz w:val="26"/>
          <w:szCs w:val="26"/>
        </w:rPr>
      </w:pPr>
      <w:bookmarkStart w:id="480" w:name="_Toc428545014"/>
      <w:bookmarkStart w:id="481" w:name="_Toc437010693"/>
      <w:bookmarkStart w:id="482" w:name="_Toc438458651"/>
      <w:r>
        <w:rPr>
          <w:rFonts w:hint="eastAsia" w:ascii="宋体" w:hAnsi="宋体" w:cs="黑体"/>
          <w:b/>
          <w:color w:val="000000"/>
          <w:sz w:val="26"/>
          <w:szCs w:val="26"/>
        </w:rPr>
        <w:t>第五十六章  推动军民融合深度发展</w:t>
      </w:r>
      <w:bookmarkEnd w:id="480"/>
      <w:bookmarkEnd w:id="481"/>
      <w:bookmarkEnd w:id="482"/>
    </w:p>
    <w:p>
      <w:pPr>
        <w:spacing w:line="444" w:lineRule="exact"/>
        <w:ind w:firstLine="520" w:firstLineChars="200"/>
        <w:rPr>
          <w:rFonts w:ascii="宋体" w:hAnsi="宋体" w:eastAsia="仿宋_GB2312" w:cs="仿宋_GB2312"/>
          <w:color w:val="000000"/>
          <w:sz w:val="26"/>
          <w:szCs w:val="26"/>
        </w:rPr>
      </w:pPr>
      <w:r>
        <w:rPr>
          <w:rFonts w:hint="eastAsia" w:ascii="宋体" w:hAnsi="宋体" w:eastAsia="仿宋_GB2312" w:cs="仿宋"/>
          <w:color w:val="000000"/>
          <w:sz w:val="26"/>
          <w:szCs w:val="26"/>
        </w:rPr>
        <w:t>贯彻军民融合发展战略，积极支持国防建设和军队改革，军民合力建设巩固边海防。加强国防教育，深入开展双拥工作，密切军政军民团结。加强边海防战备基础设施建设，构建边境管控防范网络，建设边境巡逻路、边境物理隔离和监控设施，提高交通战备设施建设标准，建成边海防军警民联建联管信息平台。加强国防动员和后备力量尤其是海上动员力量建设。推进人民防空改革发展，构建综合防护体系。编制实施发展规划，建立健全融合机制，</w:t>
      </w:r>
      <w:r>
        <w:rPr>
          <w:rFonts w:hint="eastAsia" w:ascii="宋体" w:hAnsi="宋体" w:eastAsia="仿宋_GB2312" w:cs="仿宋_GB2312"/>
          <w:color w:val="000000"/>
          <w:sz w:val="26"/>
          <w:szCs w:val="26"/>
        </w:rPr>
        <w:t>统筹推进基础设施、产业、科技、信息、教育和公共服务等重点领域军民融合发展。促进军地资源开放共享和军民两用技术相互转化应用，实施区域关键技术产业培育工程，发展军民融合式产业和基地，</w:t>
      </w:r>
      <w:r>
        <w:rPr>
          <w:rFonts w:hint="eastAsia" w:ascii="宋体" w:hAnsi="宋体" w:eastAsia="仿宋_GB2312" w:cs="仿宋"/>
          <w:color w:val="000000"/>
          <w:spacing w:val="-2"/>
          <w:sz w:val="26"/>
          <w:szCs w:val="26"/>
        </w:rPr>
        <w:t>创建一批军民融合创新示范区，</w:t>
      </w:r>
      <w:r>
        <w:rPr>
          <w:rFonts w:hint="eastAsia" w:ascii="宋体" w:hAnsi="宋体" w:eastAsia="仿宋_GB2312" w:cs="仿宋_GB2312"/>
          <w:color w:val="000000"/>
          <w:sz w:val="26"/>
          <w:szCs w:val="26"/>
        </w:rPr>
        <w:t>形成全要素、多领域、高效益的军民融合深度发展新局面。</w:t>
      </w:r>
    </w:p>
    <w:p>
      <w:pPr>
        <w:pStyle w:val="2"/>
        <w:spacing w:beforeLines="70" w:afterLines="70" w:line="444" w:lineRule="exact"/>
        <w:rPr>
          <w:rFonts w:ascii="宋体" w:hAnsi="宋体" w:cs="黑体"/>
          <w:color w:val="000000"/>
          <w:sz w:val="26"/>
          <w:szCs w:val="26"/>
        </w:rPr>
      </w:pPr>
      <w:bookmarkStart w:id="483" w:name="_Toc437010694"/>
      <w:bookmarkStart w:id="484" w:name="_Toc438458652"/>
      <w:bookmarkStart w:id="485" w:name="_Toc428545015"/>
      <w:bookmarkStart w:id="486" w:name="_Toc422341107"/>
      <w:r>
        <w:rPr>
          <w:rFonts w:hint="eastAsia" w:ascii="宋体" w:hAnsi="宋体" w:cs="黑体"/>
          <w:color w:val="000000"/>
          <w:sz w:val="26"/>
          <w:szCs w:val="26"/>
        </w:rPr>
        <w:t>第十四篇  合力实施  实现“十三五”发展蓝图</w:t>
      </w:r>
      <w:bookmarkEnd w:id="483"/>
      <w:bookmarkEnd w:id="484"/>
      <w:bookmarkEnd w:id="485"/>
      <w:bookmarkEnd w:id="486"/>
    </w:p>
    <w:p>
      <w:pPr>
        <w:spacing w:line="444"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规划经自治区人民代表大会审议批准后，具有法律效力。要在党的坚强领导下，更好履行各级政府职责，充分调动各方面积极因素，汇聚实现“两个建成”目标的强大合力。</w:t>
      </w:r>
    </w:p>
    <w:p>
      <w:pPr>
        <w:pStyle w:val="3"/>
        <w:spacing w:beforeLines="50" w:afterLines="50" w:line="444" w:lineRule="exact"/>
        <w:rPr>
          <w:rFonts w:ascii="宋体" w:hAnsi="宋体" w:cs="黑体"/>
          <w:b/>
          <w:color w:val="000000"/>
          <w:sz w:val="26"/>
          <w:szCs w:val="26"/>
        </w:rPr>
      </w:pPr>
      <w:r>
        <w:rPr>
          <w:rFonts w:hint="eastAsia" w:ascii="宋体" w:hAnsi="宋体" w:cs="黑体"/>
          <w:b/>
          <w:color w:val="000000"/>
          <w:sz w:val="26"/>
          <w:szCs w:val="26"/>
        </w:rPr>
        <w:t>第五十七章  发挥党的领导核心作用</w:t>
      </w:r>
    </w:p>
    <w:p>
      <w:pPr>
        <w:spacing w:line="444"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充分发挥各级党委（党组）领导核心作用，切实提高新常态下应对风险挑战、领导经济社会发展的能力和水平。充分发挥基层党组织战斗堡垒作用和共产党员先锋模范作用，密切党群干群关系，调动广大基层干部干事创业的积极性。落实“三严三实”要求，深入推进党风廉政建设和反腐败工作，严明党的政治纪律和政治规矩，严肃查处违纪违法行为，减少腐败存量，遏制腐败增量，构建不敢腐、不能腐、不想腐的有效机制，确保全面从严治党落到实处，为“十三五”规划实施营造良好的政治生态和发展环境。</w:t>
      </w:r>
    </w:p>
    <w:p>
      <w:pPr>
        <w:pStyle w:val="3"/>
        <w:spacing w:beforeLines="50" w:afterLines="50" w:line="456" w:lineRule="exact"/>
        <w:rPr>
          <w:rFonts w:ascii="宋体" w:hAnsi="宋体" w:cs="黑体"/>
          <w:b/>
          <w:color w:val="000000"/>
          <w:sz w:val="26"/>
          <w:szCs w:val="26"/>
        </w:rPr>
      </w:pPr>
      <w:bookmarkStart w:id="487" w:name="_Toc422341108"/>
      <w:bookmarkStart w:id="488" w:name="_Toc428545016"/>
      <w:bookmarkStart w:id="489" w:name="_Toc437010695"/>
      <w:bookmarkStart w:id="490" w:name="_Toc438458653"/>
      <w:r>
        <w:rPr>
          <w:rFonts w:hint="eastAsia" w:ascii="宋体" w:hAnsi="宋体" w:cs="黑体"/>
          <w:b/>
          <w:color w:val="000000"/>
          <w:sz w:val="26"/>
          <w:szCs w:val="26"/>
        </w:rPr>
        <w:t xml:space="preserve">第五十八章 </w:t>
      </w:r>
      <w:r>
        <w:rPr>
          <w:rFonts w:ascii="宋体" w:hAnsi="宋体" w:cs="黑体"/>
          <w:b/>
          <w:color w:val="000000"/>
          <w:sz w:val="26"/>
          <w:szCs w:val="26"/>
        </w:rPr>
        <w:t xml:space="preserve"> </w:t>
      </w:r>
      <w:r>
        <w:rPr>
          <w:rFonts w:hint="eastAsia" w:ascii="宋体" w:hAnsi="宋体" w:cs="黑体"/>
          <w:b/>
          <w:color w:val="000000"/>
          <w:sz w:val="26"/>
          <w:szCs w:val="26"/>
        </w:rPr>
        <w:t>健全规划实施</w:t>
      </w:r>
      <w:bookmarkEnd w:id="487"/>
      <w:bookmarkEnd w:id="488"/>
      <w:bookmarkEnd w:id="489"/>
      <w:bookmarkEnd w:id="490"/>
      <w:r>
        <w:rPr>
          <w:rFonts w:hint="eastAsia" w:ascii="宋体" w:hAnsi="宋体" w:cs="黑体"/>
          <w:b/>
          <w:color w:val="000000"/>
          <w:sz w:val="26"/>
          <w:szCs w:val="26"/>
        </w:rPr>
        <w:t>机制</w:t>
      </w:r>
    </w:p>
    <w:p>
      <w:pPr>
        <w:spacing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建立健全责任明确、分类实施、有效监督的规划实施制度。本规划提出的目标任务要明确责任主体、实施进度要求，分解落实到各级各部门。加强统筹协调、审计监督，确保如期完成。对纳入规划的重大工程项目要优先列入年度统筹推进计划，优先保障规划选址、土地供应和融资安排。将规划年度实施情况纳入各级各部门绩效考核。建立规划实施监测评估制度，规划主管部门开展规划实施年度监测并向自治区人民政府报告，自治区人民政府组织规划实施中期评估，提交自治区人民代表大会常务委员会审议。本规划根据形势变化可适当调整，调整修订规划时，须报自治区人民代表大会常务委员会批准。</w:t>
      </w:r>
    </w:p>
    <w:p>
      <w:pPr>
        <w:pStyle w:val="3"/>
        <w:spacing w:beforeLines="50" w:afterLines="50" w:line="456" w:lineRule="exact"/>
        <w:rPr>
          <w:rFonts w:ascii="宋体" w:hAnsi="宋体" w:cs="黑体"/>
          <w:b/>
          <w:color w:val="000000"/>
          <w:sz w:val="26"/>
          <w:szCs w:val="26"/>
        </w:rPr>
      </w:pPr>
      <w:bookmarkStart w:id="491" w:name="_Toc437010696"/>
      <w:bookmarkStart w:id="492" w:name="_Toc428545017"/>
      <w:bookmarkStart w:id="493" w:name="_Toc438458654"/>
      <w:bookmarkStart w:id="494" w:name="_Toc422341109"/>
      <w:r>
        <w:rPr>
          <w:rFonts w:hint="eastAsia" w:ascii="宋体" w:hAnsi="宋体" w:cs="黑体"/>
          <w:b/>
          <w:color w:val="000000"/>
          <w:sz w:val="26"/>
          <w:szCs w:val="26"/>
        </w:rPr>
        <w:t xml:space="preserve">第五十九章  </w:t>
      </w:r>
      <w:bookmarkEnd w:id="491"/>
      <w:bookmarkEnd w:id="492"/>
      <w:r>
        <w:rPr>
          <w:rFonts w:hint="eastAsia" w:ascii="宋体" w:hAnsi="宋体" w:cs="黑体"/>
          <w:b/>
          <w:color w:val="000000"/>
          <w:sz w:val="26"/>
          <w:szCs w:val="26"/>
        </w:rPr>
        <w:t>加强政策统筹协调</w:t>
      </w:r>
      <w:bookmarkEnd w:id="493"/>
    </w:p>
    <w:p>
      <w:pPr>
        <w:spacing w:line="456"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加快规划立法，形成以国民经济和社会发展总体规划为统领，以主体功能区规划、城乡规划、土地利用规划和专项规划、区域规划为支撑，各类规划定位清晰、统一衔接的规划体系。城乡规划、土地利用规划要与本规划确定的城镇、农业、生态三类空间相衔接。专项规划、区域规划要细化落实本规划提出的目标任务，在目标任务、空间布局、重大工程项目建设等方面与本规划充分衔接。市县规划要落实本规划的战略意图。经济社会发展年度计划要依据本规划制定。财政规划和年度预算要结合本规划提出的目标任务和财力可能，合理安排支出规模和结构，强化财政对规划实施的保障作用。建立与规划实施相匹配的政府投资规模形成机制。</w:t>
      </w:r>
    </w:p>
    <w:bookmarkEnd w:id="494"/>
    <w:p>
      <w:pPr>
        <w:pStyle w:val="3"/>
        <w:spacing w:beforeLines="50" w:afterLines="50" w:line="460" w:lineRule="exact"/>
        <w:rPr>
          <w:rFonts w:ascii="宋体" w:hAnsi="宋体" w:cs="黑体"/>
          <w:b/>
          <w:color w:val="000000"/>
          <w:sz w:val="26"/>
          <w:szCs w:val="26"/>
        </w:rPr>
      </w:pPr>
      <w:bookmarkStart w:id="495" w:name="_Toc428545018"/>
      <w:bookmarkStart w:id="496" w:name="_Toc437010697"/>
      <w:bookmarkStart w:id="497" w:name="_Toc438458655"/>
      <w:bookmarkStart w:id="498" w:name="_Toc422341110"/>
      <w:r>
        <w:rPr>
          <w:rFonts w:hint="eastAsia" w:ascii="宋体" w:hAnsi="宋体" w:cs="黑体"/>
          <w:b/>
          <w:color w:val="000000"/>
          <w:sz w:val="26"/>
          <w:szCs w:val="26"/>
        </w:rPr>
        <w:t xml:space="preserve">第六十章  </w:t>
      </w:r>
      <w:bookmarkEnd w:id="495"/>
      <w:bookmarkEnd w:id="496"/>
      <w:r>
        <w:rPr>
          <w:rFonts w:hint="eastAsia" w:ascii="宋体" w:hAnsi="宋体" w:cs="黑体"/>
          <w:b/>
          <w:color w:val="000000"/>
          <w:sz w:val="26"/>
          <w:szCs w:val="26"/>
        </w:rPr>
        <w:t>充分调动全社会积极性</w:t>
      </w:r>
      <w:bookmarkEnd w:id="497"/>
    </w:p>
    <w:bookmarkEnd w:id="498"/>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规划提出的预期性指标和产业发展、结构调整等任务，主要依靠各类市场主体行为实现，各级政府要营造良好的政策和制度环境，尊重群众首创精神，充分调动广大群众的积极性和主动性，深入开展规划纲要宣传，让规划实施成为全社会的自觉行动，形成群策群力、共建共享的生动局面，推动规划目标任务顺利实现。</w:t>
      </w:r>
    </w:p>
    <w:p>
      <w:pPr>
        <w:spacing w:line="460" w:lineRule="exact"/>
        <w:ind w:firstLine="468" w:firstLineChars="180"/>
        <w:rPr>
          <w:rFonts w:ascii="宋体" w:hAnsi="宋体" w:eastAsia="仿宋_GB2312" w:cs="仿宋"/>
          <w:color w:val="000000"/>
          <w:sz w:val="26"/>
          <w:szCs w:val="26"/>
        </w:rPr>
      </w:pPr>
    </w:p>
    <w:p>
      <w:pPr>
        <w:spacing w:line="460" w:lineRule="exact"/>
        <w:ind w:firstLine="520" w:firstLineChars="200"/>
        <w:rPr>
          <w:rFonts w:ascii="宋体" w:hAnsi="宋体" w:eastAsia="仿宋_GB2312" w:cs="仿宋"/>
          <w:color w:val="000000"/>
          <w:sz w:val="26"/>
          <w:szCs w:val="26"/>
        </w:rPr>
      </w:pPr>
      <w:r>
        <w:rPr>
          <w:rFonts w:hint="eastAsia" w:ascii="宋体" w:hAnsi="宋体" w:eastAsia="仿宋_GB2312" w:cs="仿宋"/>
          <w:color w:val="000000"/>
          <w:sz w:val="26"/>
          <w:szCs w:val="26"/>
        </w:rPr>
        <w:t>全区各族人民要紧密团结在以习近平同志为</w:t>
      </w:r>
      <w:r>
        <w:rPr>
          <w:rFonts w:hint="eastAsia" w:ascii="宋体" w:hAnsi="宋体" w:eastAsia="仿宋_GB2312" w:cs="仿宋"/>
          <w:color w:val="000000"/>
          <w:sz w:val="26"/>
          <w:szCs w:val="26"/>
          <w:lang w:eastAsia="zh-CN"/>
        </w:rPr>
        <w:t>核心</w:t>
      </w:r>
      <w:bookmarkStart w:id="499" w:name="_GoBack"/>
      <w:bookmarkEnd w:id="499"/>
      <w:r>
        <w:rPr>
          <w:rFonts w:hint="eastAsia" w:ascii="宋体" w:hAnsi="宋体" w:eastAsia="仿宋_GB2312" w:cs="仿宋"/>
          <w:color w:val="000000"/>
          <w:sz w:val="26"/>
          <w:szCs w:val="26"/>
        </w:rPr>
        <w:t>的党中央周围，解放思想、开拓创新，锐意进取、奋发有为，为履行好中央赋予广西“三大定位”新使命、加快实现“两个建成”目标而努力奋斗！</w:t>
      </w:r>
    </w:p>
    <w:p>
      <w:pPr>
        <w:spacing w:line="300" w:lineRule="exact"/>
        <w:jc w:val="center"/>
        <w:rPr>
          <w:rFonts w:ascii="宋体" w:hAnsi="宋体" w:eastAsia="仿宋_GB2312" w:cs="仿宋"/>
          <w:color w:val="000000"/>
          <w:sz w:val="26"/>
          <w:szCs w:val="26"/>
        </w:rPr>
      </w:pPr>
    </w:p>
    <w:sectPr>
      <w:footerReference r:id="rId9" w:type="default"/>
      <w:pgSz w:w="8392" w:h="11907"/>
      <w:pgMar w:top="1134" w:right="1134" w:bottom="1134" w:left="1134" w:header="851" w:footer="85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7A"/>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FZFSK--GBK1-0">
    <w:altName w:val="黑体"/>
    <w:panose1 w:val="00000000000000000000"/>
    <w:charset w:val="86"/>
    <w:family w:val="auto"/>
    <w:pitch w:val="default"/>
    <w:sig w:usb0="00000000" w:usb1="00000000" w:usb2="00000010" w:usb3="00000000" w:csb0="00040000" w:csb1="00000000"/>
  </w:font>
  <w:font w:name="FangSong_GB2312-Identity-H">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exact"/>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5"/>
      </w:rPr>
    </w:pPr>
    <w:r>
      <w:rPr>
        <w:rStyle w:val="25"/>
      </w:rPr>
      <w:fldChar w:fldCharType="begin"/>
    </w:r>
    <w:r>
      <w:rPr>
        <w:rStyle w:val="25"/>
      </w:rPr>
      <w:instrText xml:space="preserve">PAGE  </w:instrText>
    </w:r>
    <w:r>
      <w:rPr>
        <w:rStyle w:val="25"/>
      </w:rP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00" w:lineRule="exact"/>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980"/>
    <w:rsid w:val="00000668"/>
    <w:rsid w:val="00000B46"/>
    <w:rsid w:val="00000C32"/>
    <w:rsid w:val="0000191B"/>
    <w:rsid w:val="00001DC0"/>
    <w:rsid w:val="000022C2"/>
    <w:rsid w:val="00005FA9"/>
    <w:rsid w:val="00006547"/>
    <w:rsid w:val="000066AB"/>
    <w:rsid w:val="0000675C"/>
    <w:rsid w:val="00007C68"/>
    <w:rsid w:val="0001013C"/>
    <w:rsid w:val="00010208"/>
    <w:rsid w:val="00011C79"/>
    <w:rsid w:val="00012279"/>
    <w:rsid w:val="000129EA"/>
    <w:rsid w:val="00012BE0"/>
    <w:rsid w:val="000137D0"/>
    <w:rsid w:val="00013DAE"/>
    <w:rsid w:val="00014313"/>
    <w:rsid w:val="00014894"/>
    <w:rsid w:val="00015C44"/>
    <w:rsid w:val="0001680A"/>
    <w:rsid w:val="00017460"/>
    <w:rsid w:val="000175D4"/>
    <w:rsid w:val="00021A86"/>
    <w:rsid w:val="000222C3"/>
    <w:rsid w:val="00022D57"/>
    <w:rsid w:val="00022DDA"/>
    <w:rsid w:val="00023F3A"/>
    <w:rsid w:val="00024873"/>
    <w:rsid w:val="00024E32"/>
    <w:rsid w:val="00025B83"/>
    <w:rsid w:val="0002706D"/>
    <w:rsid w:val="00027F32"/>
    <w:rsid w:val="00030770"/>
    <w:rsid w:val="00030C96"/>
    <w:rsid w:val="00030F26"/>
    <w:rsid w:val="000315B7"/>
    <w:rsid w:val="0003218F"/>
    <w:rsid w:val="0003473C"/>
    <w:rsid w:val="00034B48"/>
    <w:rsid w:val="00034D18"/>
    <w:rsid w:val="00037433"/>
    <w:rsid w:val="00037AB0"/>
    <w:rsid w:val="00037E69"/>
    <w:rsid w:val="000401B2"/>
    <w:rsid w:val="0004113D"/>
    <w:rsid w:val="00042DBD"/>
    <w:rsid w:val="000437EB"/>
    <w:rsid w:val="0004403B"/>
    <w:rsid w:val="000445E7"/>
    <w:rsid w:val="00044C03"/>
    <w:rsid w:val="00044EC3"/>
    <w:rsid w:val="00046C2D"/>
    <w:rsid w:val="000500D9"/>
    <w:rsid w:val="00051FEC"/>
    <w:rsid w:val="00053FCD"/>
    <w:rsid w:val="00054BFF"/>
    <w:rsid w:val="00055345"/>
    <w:rsid w:val="000561AF"/>
    <w:rsid w:val="0005640F"/>
    <w:rsid w:val="000573D4"/>
    <w:rsid w:val="00057612"/>
    <w:rsid w:val="000578F5"/>
    <w:rsid w:val="0005792D"/>
    <w:rsid w:val="00057AB1"/>
    <w:rsid w:val="00057BD9"/>
    <w:rsid w:val="00057C9E"/>
    <w:rsid w:val="00057F8A"/>
    <w:rsid w:val="0006012A"/>
    <w:rsid w:val="00061ADA"/>
    <w:rsid w:val="000622F1"/>
    <w:rsid w:val="00063F6A"/>
    <w:rsid w:val="0006513D"/>
    <w:rsid w:val="00065535"/>
    <w:rsid w:val="000657B6"/>
    <w:rsid w:val="000663F8"/>
    <w:rsid w:val="00066819"/>
    <w:rsid w:val="00066877"/>
    <w:rsid w:val="000708D9"/>
    <w:rsid w:val="00070ADA"/>
    <w:rsid w:val="000716BA"/>
    <w:rsid w:val="00071D6A"/>
    <w:rsid w:val="0007227B"/>
    <w:rsid w:val="00072740"/>
    <w:rsid w:val="00073684"/>
    <w:rsid w:val="00073F9F"/>
    <w:rsid w:val="000743EB"/>
    <w:rsid w:val="000744D0"/>
    <w:rsid w:val="000744FA"/>
    <w:rsid w:val="000747D6"/>
    <w:rsid w:val="00075703"/>
    <w:rsid w:val="000758D3"/>
    <w:rsid w:val="000767A6"/>
    <w:rsid w:val="00080D3A"/>
    <w:rsid w:val="00081CC5"/>
    <w:rsid w:val="00081F28"/>
    <w:rsid w:val="000831D4"/>
    <w:rsid w:val="00083A6D"/>
    <w:rsid w:val="00083C8E"/>
    <w:rsid w:val="00085110"/>
    <w:rsid w:val="00085CCC"/>
    <w:rsid w:val="00085E23"/>
    <w:rsid w:val="00087E6F"/>
    <w:rsid w:val="0009025C"/>
    <w:rsid w:val="00090C34"/>
    <w:rsid w:val="00091291"/>
    <w:rsid w:val="000918B1"/>
    <w:rsid w:val="000931F6"/>
    <w:rsid w:val="000932F0"/>
    <w:rsid w:val="000942BB"/>
    <w:rsid w:val="00094773"/>
    <w:rsid w:val="000961C5"/>
    <w:rsid w:val="00097540"/>
    <w:rsid w:val="000A0AFB"/>
    <w:rsid w:val="000A256B"/>
    <w:rsid w:val="000A2654"/>
    <w:rsid w:val="000A2878"/>
    <w:rsid w:val="000A2BF6"/>
    <w:rsid w:val="000A334A"/>
    <w:rsid w:val="000A3928"/>
    <w:rsid w:val="000A3BE7"/>
    <w:rsid w:val="000A50F5"/>
    <w:rsid w:val="000A5805"/>
    <w:rsid w:val="000A6438"/>
    <w:rsid w:val="000A79AF"/>
    <w:rsid w:val="000B0C5E"/>
    <w:rsid w:val="000B0FAB"/>
    <w:rsid w:val="000B2C90"/>
    <w:rsid w:val="000B376F"/>
    <w:rsid w:val="000B37FC"/>
    <w:rsid w:val="000B3C8E"/>
    <w:rsid w:val="000B40C2"/>
    <w:rsid w:val="000B462B"/>
    <w:rsid w:val="000B47C3"/>
    <w:rsid w:val="000B4AA8"/>
    <w:rsid w:val="000B73CC"/>
    <w:rsid w:val="000B7C41"/>
    <w:rsid w:val="000C171B"/>
    <w:rsid w:val="000C19E8"/>
    <w:rsid w:val="000C1DC2"/>
    <w:rsid w:val="000C32D1"/>
    <w:rsid w:val="000C34C9"/>
    <w:rsid w:val="000C419F"/>
    <w:rsid w:val="000C5F59"/>
    <w:rsid w:val="000C6F9F"/>
    <w:rsid w:val="000C77A7"/>
    <w:rsid w:val="000C7F26"/>
    <w:rsid w:val="000D10DB"/>
    <w:rsid w:val="000D19A4"/>
    <w:rsid w:val="000D1CB5"/>
    <w:rsid w:val="000D1E9D"/>
    <w:rsid w:val="000D2FD2"/>
    <w:rsid w:val="000D3133"/>
    <w:rsid w:val="000D48B4"/>
    <w:rsid w:val="000D5138"/>
    <w:rsid w:val="000D54BC"/>
    <w:rsid w:val="000D5B72"/>
    <w:rsid w:val="000D5C0E"/>
    <w:rsid w:val="000D62B0"/>
    <w:rsid w:val="000D63AC"/>
    <w:rsid w:val="000D6647"/>
    <w:rsid w:val="000D66FE"/>
    <w:rsid w:val="000D7E70"/>
    <w:rsid w:val="000D7F8E"/>
    <w:rsid w:val="000E0474"/>
    <w:rsid w:val="000E0A93"/>
    <w:rsid w:val="000E231F"/>
    <w:rsid w:val="000E38A7"/>
    <w:rsid w:val="000E49D3"/>
    <w:rsid w:val="000E4C97"/>
    <w:rsid w:val="000E55CF"/>
    <w:rsid w:val="000E5E25"/>
    <w:rsid w:val="000E6E9A"/>
    <w:rsid w:val="000E6F7B"/>
    <w:rsid w:val="000E721A"/>
    <w:rsid w:val="000F0BCE"/>
    <w:rsid w:val="000F0EBE"/>
    <w:rsid w:val="000F10F0"/>
    <w:rsid w:val="000F17F3"/>
    <w:rsid w:val="000F2218"/>
    <w:rsid w:val="000F2BE4"/>
    <w:rsid w:val="000F4198"/>
    <w:rsid w:val="000F41A2"/>
    <w:rsid w:val="000F50A1"/>
    <w:rsid w:val="000F5389"/>
    <w:rsid w:val="000F6973"/>
    <w:rsid w:val="000F6F23"/>
    <w:rsid w:val="000F72A1"/>
    <w:rsid w:val="000F7C15"/>
    <w:rsid w:val="0010078D"/>
    <w:rsid w:val="00101962"/>
    <w:rsid w:val="00102A8A"/>
    <w:rsid w:val="00102C97"/>
    <w:rsid w:val="0010353C"/>
    <w:rsid w:val="00105145"/>
    <w:rsid w:val="00105307"/>
    <w:rsid w:val="00105A66"/>
    <w:rsid w:val="00106D55"/>
    <w:rsid w:val="00110869"/>
    <w:rsid w:val="00110C58"/>
    <w:rsid w:val="00111736"/>
    <w:rsid w:val="001119BB"/>
    <w:rsid w:val="00111A12"/>
    <w:rsid w:val="00111C7B"/>
    <w:rsid w:val="00111D51"/>
    <w:rsid w:val="0011201B"/>
    <w:rsid w:val="00112820"/>
    <w:rsid w:val="0011292B"/>
    <w:rsid w:val="001136CE"/>
    <w:rsid w:val="00113A3F"/>
    <w:rsid w:val="00113F1A"/>
    <w:rsid w:val="00114B3C"/>
    <w:rsid w:val="001167C1"/>
    <w:rsid w:val="00116BA6"/>
    <w:rsid w:val="001173D8"/>
    <w:rsid w:val="0011774D"/>
    <w:rsid w:val="00120202"/>
    <w:rsid w:val="00120B55"/>
    <w:rsid w:val="00121EB3"/>
    <w:rsid w:val="00122256"/>
    <w:rsid w:val="001228EE"/>
    <w:rsid w:val="00123358"/>
    <w:rsid w:val="00123F10"/>
    <w:rsid w:val="00124C3A"/>
    <w:rsid w:val="00124F7E"/>
    <w:rsid w:val="001250D1"/>
    <w:rsid w:val="001255A4"/>
    <w:rsid w:val="00126B92"/>
    <w:rsid w:val="00126C65"/>
    <w:rsid w:val="001277D2"/>
    <w:rsid w:val="00127E94"/>
    <w:rsid w:val="00131340"/>
    <w:rsid w:val="001313D0"/>
    <w:rsid w:val="00131781"/>
    <w:rsid w:val="001338BA"/>
    <w:rsid w:val="00133C77"/>
    <w:rsid w:val="001349D5"/>
    <w:rsid w:val="00135FF3"/>
    <w:rsid w:val="00136403"/>
    <w:rsid w:val="00136F3A"/>
    <w:rsid w:val="00136F48"/>
    <w:rsid w:val="0014034C"/>
    <w:rsid w:val="0014128C"/>
    <w:rsid w:val="0014273F"/>
    <w:rsid w:val="00142A05"/>
    <w:rsid w:val="0014407D"/>
    <w:rsid w:val="001449A7"/>
    <w:rsid w:val="00144C5E"/>
    <w:rsid w:val="00145EF1"/>
    <w:rsid w:val="0014617C"/>
    <w:rsid w:val="00146235"/>
    <w:rsid w:val="0015095C"/>
    <w:rsid w:val="001518B4"/>
    <w:rsid w:val="00152844"/>
    <w:rsid w:val="00152A64"/>
    <w:rsid w:val="00153104"/>
    <w:rsid w:val="0015374E"/>
    <w:rsid w:val="001541C6"/>
    <w:rsid w:val="0015466E"/>
    <w:rsid w:val="0015502A"/>
    <w:rsid w:val="001557A7"/>
    <w:rsid w:val="001559BE"/>
    <w:rsid w:val="001559C2"/>
    <w:rsid w:val="00155D89"/>
    <w:rsid w:val="001564A6"/>
    <w:rsid w:val="0015671E"/>
    <w:rsid w:val="00161AA5"/>
    <w:rsid w:val="001624D8"/>
    <w:rsid w:val="001630AB"/>
    <w:rsid w:val="0016440F"/>
    <w:rsid w:val="001648AA"/>
    <w:rsid w:val="001649DB"/>
    <w:rsid w:val="00164F1A"/>
    <w:rsid w:val="00167827"/>
    <w:rsid w:val="00170838"/>
    <w:rsid w:val="00170CE8"/>
    <w:rsid w:val="001716EC"/>
    <w:rsid w:val="00171DA8"/>
    <w:rsid w:val="0017202B"/>
    <w:rsid w:val="00172228"/>
    <w:rsid w:val="00173777"/>
    <w:rsid w:val="0017439E"/>
    <w:rsid w:val="00174502"/>
    <w:rsid w:val="00175148"/>
    <w:rsid w:val="001756E9"/>
    <w:rsid w:val="00176334"/>
    <w:rsid w:val="00177AAF"/>
    <w:rsid w:val="0018052E"/>
    <w:rsid w:val="00180A7D"/>
    <w:rsid w:val="00181657"/>
    <w:rsid w:val="001826D4"/>
    <w:rsid w:val="00182BBF"/>
    <w:rsid w:val="00182BF6"/>
    <w:rsid w:val="00183B5D"/>
    <w:rsid w:val="00185DDC"/>
    <w:rsid w:val="001864E3"/>
    <w:rsid w:val="00186A20"/>
    <w:rsid w:val="001872BB"/>
    <w:rsid w:val="00187C24"/>
    <w:rsid w:val="00187CE2"/>
    <w:rsid w:val="00187FA5"/>
    <w:rsid w:val="001900A9"/>
    <w:rsid w:val="00190495"/>
    <w:rsid w:val="0019174D"/>
    <w:rsid w:val="001922A1"/>
    <w:rsid w:val="00192A45"/>
    <w:rsid w:val="00193478"/>
    <w:rsid w:val="00195C86"/>
    <w:rsid w:val="00196387"/>
    <w:rsid w:val="001966B0"/>
    <w:rsid w:val="00197308"/>
    <w:rsid w:val="001A03FE"/>
    <w:rsid w:val="001A06E4"/>
    <w:rsid w:val="001A07F1"/>
    <w:rsid w:val="001A0B86"/>
    <w:rsid w:val="001A2E4E"/>
    <w:rsid w:val="001A3206"/>
    <w:rsid w:val="001A3D99"/>
    <w:rsid w:val="001A3E6F"/>
    <w:rsid w:val="001A43B6"/>
    <w:rsid w:val="001A529A"/>
    <w:rsid w:val="001A6E30"/>
    <w:rsid w:val="001A7F66"/>
    <w:rsid w:val="001B0112"/>
    <w:rsid w:val="001B03F5"/>
    <w:rsid w:val="001B17CF"/>
    <w:rsid w:val="001B1C0D"/>
    <w:rsid w:val="001B27CB"/>
    <w:rsid w:val="001B39DE"/>
    <w:rsid w:val="001B42C5"/>
    <w:rsid w:val="001B45F9"/>
    <w:rsid w:val="001B504A"/>
    <w:rsid w:val="001B5643"/>
    <w:rsid w:val="001B5A01"/>
    <w:rsid w:val="001B6810"/>
    <w:rsid w:val="001B7120"/>
    <w:rsid w:val="001B78EA"/>
    <w:rsid w:val="001B7F12"/>
    <w:rsid w:val="001C00E8"/>
    <w:rsid w:val="001C09D9"/>
    <w:rsid w:val="001C22F0"/>
    <w:rsid w:val="001C4C39"/>
    <w:rsid w:val="001C5328"/>
    <w:rsid w:val="001C63E8"/>
    <w:rsid w:val="001C6670"/>
    <w:rsid w:val="001C7EBE"/>
    <w:rsid w:val="001D011A"/>
    <w:rsid w:val="001D0437"/>
    <w:rsid w:val="001D2779"/>
    <w:rsid w:val="001D35D3"/>
    <w:rsid w:val="001D3975"/>
    <w:rsid w:val="001D47AA"/>
    <w:rsid w:val="001D4ECF"/>
    <w:rsid w:val="001D50A8"/>
    <w:rsid w:val="001D5784"/>
    <w:rsid w:val="001D5881"/>
    <w:rsid w:val="001D691D"/>
    <w:rsid w:val="001D6B1D"/>
    <w:rsid w:val="001D74B0"/>
    <w:rsid w:val="001D76AD"/>
    <w:rsid w:val="001E06EE"/>
    <w:rsid w:val="001E0CFC"/>
    <w:rsid w:val="001E1B25"/>
    <w:rsid w:val="001E27FC"/>
    <w:rsid w:val="001E3064"/>
    <w:rsid w:val="001E31AF"/>
    <w:rsid w:val="001E366D"/>
    <w:rsid w:val="001E4F48"/>
    <w:rsid w:val="001E600B"/>
    <w:rsid w:val="001E64BF"/>
    <w:rsid w:val="001E6EE7"/>
    <w:rsid w:val="001E716F"/>
    <w:rsid w:val="001F05DF"/>
    <w:rsid w:val="001F0767"/>
    <w:rsid w:val="001F0C4F"/>
    <w:rsid w:val="001F0EF0"/>
    <w:rsid w:val="001F12A9"/>
    <w:rsid w:val="001F285A"/>
    <w:rsid w:val="001F36C9"/>
    <w:rsid w:val="001F38DD"/>
    <w:rsid w:val="001F3E96"/>
    <w:rsid w:val="001F40C8"/>
    <w:rsid w:val="001F44C1"/>
    <w:rsid w:val="001F504A"/>
    <w:rsid w:val="001F5250"/>
    <w:rsid w:val="001F58FA"/>
    <w:rsid w:val="001F5C3E"/>
    <w:rsid w:val="001F5C9C"/>
    <w:rsid w:val="001F6941"/>
    <w:rsid w:val="00200C3F"/>
    <w:rsid w:val="0020155A"/>
    <w:rsid w:val="0020163B"/>
    <w:rsid w:val="00202AB3"/>
    <w:rsid w:val="002033CA"/>
    <w:rsid w:val="00203976"/>
    <w:rsid w:val="00203BCB"/>
    <w:rsid w:val="0020410D"/>
    <w:rsid w:val="00204315"/>
    <w:rsid w:val="002043BB"/>
    <w:rsid w:val="00205155"/>
    <w:rsid w:val="00205280"/>
    <w:rsid w:val="0020579E"/>
    <w:rsid w:val="00206871"/>
    <w:rsid w:val="00210C1A"/>
    <w:rsid w:val="0021130C"/>
    <w:rsid w:val="00211B48"/>
    <w:rsid w:val="00211F16"/>
    <w:rsid w:val="00214241"/>
    <w:rsid w:val="002148C1"/>
    <w:rsid w:val="00214C4F"/>
    <w:rsid w:val="00215368"/>
    <w:rsid w:val="00215BA4"/>
    <w:rsid w:val="00215F83"/>
    <w:rsid w:val="00216265"/>
    <w:rsid w:val="00217EBB"/>
    <w:rsid w:val="00220102"/>
    <w:rsid w:val="00220BD6"/>
    <w:rsid w:val="00220C8C"/>
    <w:rsid w:val="002212E4"/>
    <w:rsid w:val="002219FB"/>
    <w:rsid w:val="00221B8C"/>
    <w:rsid w:val="00224816"/>
    <w:rsid w:val="00225868"/>
    <w:rsid w:val="00226C51"/>
    <w:rsid w:val="002309BB"/>
    <w:rsid w:val="00230DEE"/>
    <w:rsid w:val="00231300"/>
    <w:rsid w:val="002318A8"/>
    <w:rsid w:val="00232338"/>
    <w:rsid w:val="0023273F"/>
    <w:rsid w:val="00232CC2"/>
    <w:rsid w:val="00233158"/>
    <w:rsid w:val="002335CC"/>
    <w:rsid w:val="00233621"/>
    <w:rsid w:val="00233D43"/>
    <w:rsid w:val="00234352"/>
    <w:rsid w:val="00234F5B"/>
    <w:rsid w:val="0023520F"/>
    <w:rsid w:val="00235A0F"/>
    <w:rsid w:val="0023614D"/>
    <w:rsid w:val="002363D6"/>
    <w:rsid w:val="00236DCA"/>
    <w:rsid w:val="002372CC"/>
    <w:rsid w:val="002419A8"/>
    <w:rsid w:val="00241D89"/>
    <w:rsid w:val="0024315B"/>
    <w:rsid w:val="00243B01"/>
    <w:rsid w:val="00244347"/>
    <w:rsid w:val="0024516F"/>
    <w:rsid w:val="00245D6E"/>
    <w:rsid w:val="002463F9"/>
    <w:rsid w:val="002474F9"/>
    <w:rsid w:val="00250E2F"/>
    <w:rsid w:val="00250FB2"/>
    <w:rsid w:val="00252090"/>
    <w:rsid w:val="00252825"/>
    <w:rsid w:val="002533F1"/>
    <w:rsid w:val="00253EF9"/>
    <w:rsid w:val="00255C7E"/>
    <w:rsid w:val="00256370"/>
    <w:rsid w:val="00261E71"/>
    <w:rsid w:val="00263280"/>
    <w:rsid w:val="0026592B"/>
    <w:rsid w:val="002665AC"/>
    <w:rsid w:val="00267DE6"/>
    <w:rsid w:val="0027151A"/>
    <w:rsid w:val="00271E70"/>
    <w:rsid w:val="002724EB"/>
    <w:rsid w:val="002725FB"/>
    <w:rsid w:val="00272893"/>
    <w:rsid w:val="00272D20"/>
    <w:rsid w:val="0027327C"/>
    <w:rsid w:val="002741C4"/>
    <w:rsid w:val="00276147"/>
    <w:rsid w:val="00276985"/>
    <w:rsid w:val="00276ACB"/>
    <w:rsid w:val="00276C01"/>
    <w:rsid w:val="00277AE9"/>
    <w:rsid w:val="0028060C"/>
    <w:rsid w:val="00280B1F"/>
    <w:rsid w:val="00281A08"/>
    <w:rsid w:val="00281C19"/>
    <w:rsid w:val="00283E6B"/>
    <w:rsid w:val="00284CE4"/>
    <w:rsid w:val="00284D53"/>
    <w:rsid w:val="002859A9"/>
    <w:rsid w:val="00285E18"/>
    <w:rsid w:val="00285E44"/>
    <w:rsid w:val="002866A5"/>
    <w:rsid w:val="00286F56"/>
    <w:rsid w:val="0028787F"/>
    <w:rsid w:val="00290AC5"/>
    <w:rsid w:val="00291C2F"/>
    <w:rsid w:val="00291E98"/>
    <w:rsid w:val="00292B9F"/>
    <w:rsid w:val="002932D7"/>
    <w:rsid w:val="002932E2"/>
    <w:rsid w:val="00294143"/>
    <w:rsid w:val="00294AAA"/>
    <w:rsid w:val="00295EBC"/>
    <w:rsid w:val="00296E9D"/>
    <w:rsid w:val="002A041E"/>
    <w:rsid w:val="002A18A7"/>
    <w:rsid w:val="002A3D6E"/>
    <w:rsid w:val="002A4A78"/>
    <w:rsid w:val="002A5F55"/>
    <w:rsid w:val="002A6353"/>
    <w:rsid w:val="002A71BE"/>
    <w:rsid w:val="002A745E"/>
    <w:rsid w:val="002B062F"/>
    <w:rsid w:val="002B15E7"/>
    <w:rsid w:val="002B18E3"/>
    <w:rsid w:val="002B2B1D"/>
    <w:rsid w:val="002B2E6E"/>
    <w:rsid w:val="002B2EC3"/>
    <w:rsid w:val="002B4604"/>
    <w:rsid w:val="002B52B2"/>
    <w:rsid w:val="002B7F2A"/>
    <w:rsid w:val="002C08B3"/>
    <w:rsid w:val="002C0A60"/>
    <w:rsid w:val="002C0CC6"/>
    <w:rsid w:val="002C0F74"/>
    <w:rsid w:val="002C2AB3"/>
    <w:rsid w:val="002C2EEB"/>
    <w:rsid w:val="002C3091"/>
    <w:rsid w:val="002C3F97"/>
    <w:rsid w:val="002C5039"/>
    <w:rsid w:val="002C7315"/>
    <w:rsid w:val="002C7EDC"/>
    <w:rsid w:val="002D0956"/>
    <w:rsid w:val="002D0EDD"/>
    <w:rsid w:val="002D19E2"/>
    <w:rsid w:val="002D5808"/>
    <w:rsid w:val="002D742A"/>
    <w:rsid w:val="002D78B6"/>
    <w:rsid w:val="002D7D4B"/>
    <w:rsid w:val="002E066C"/>
    <w:rsid w:val="002E0F8F"/>
    <w:rsid w:val="002E11B6"/>
    <w:rsid w:val="002E345E"/>
    <w:rsid w:val="002E3DEC"/>
    <w:rsid w:val="002E4CCE"/>
    <w:rsid w:val="002E5993"/>
    <w:rsid w:val="002E685F"/>
    <w:rsid w:val="002E6A31"/>
    <w:rsid w:val="002E72B1"/>
    <w:rsid w:val="002E7A03"/>
    <w:rsid w:val="002E7BB1"/>
    <w:rsid w:val="002F057B"/>
    <w:rsid w:val="002F1020"/>
    <w:rsid w:val="002F1CB4"/>
    <w:rsid w:val="002F25E2"/>
    <w:rsid w:val="002F2AE3"/>
    <w:rsid w:val="002F33BB"/>
    <w:rsid w:val="002F394A"/>
    <w:rsid w:val="002F4623"/>
    <w:rsid w:val="002F526D"/>
    <w:rsid w:val="002F5750"/>
    <w:rsid w:val="002F5923"/>
    <w:rsid w:val="002F65DD"/>
    <w:rsid w:val="002F7742"/>
    <w:rsid w:val="002F7944"/>
    <w:rsid w:val="002F7E77"/>
    <w:rsid w:val="00301181"/>
    <w:rsid w:val="003020F3"/>
    <w:rsid w:val="00302949"/>
    <w:rsid w:val="00303C86"/>
    <w:rsid w:val="003043A9"/>
    <w:rsid w:val="003049A8"/>
    <w:rsid w:val="00304DBD"/>
    <w:rsid w:val="0030515F"/>
    <w:rsid w:val="0030551A"/>
    <w:rsid w:val="00312E72"/>
    <w:rsid w:val="003135BD"/>
    <w:rsid w:val="00313FC6"/>
    <w:rsid w:val="00314C6A"/>
    <w:rsid w:val="00314F0F"/>
    <w:rsid w:val="00315535"/>
    <w:rsid w:val="00315CDC"/>
    <w:rsid w:val="00315DEB"/>
    <w:rsid w:val="00316357"/>
    <w:rsid w:val="00316A3E"/>
    <w:rsid w:val="00317F48"/>
    <w:rsid w:val="003205CA"/>
    <w:rsid w:val="00321623"/>
    <w:rsid w:val="00321695"/>
    <w:rsid w:val="003228A3"/>
    <w:rsid w:val="0032296E"/>
    <w:rsid w:val="003229AE"/>
    <w:rsid w:val="00322A86"/>
    <w:rsid w:val="00323079"/>
    <w:rsid w:val="00323C70"/>
    <w:rsid w:val="003242FF"/>
    <w:rsid w:val="003250C3"/>
    <w:rsid w:val="00325531"/>
    <w:rsid w:val="00325675"/>
    <w:rsid w:val="00325CEE"/>
    <w:rsid w:val="003306C6"/>
    <w:rsid w:val="00330AB6"/>
    <w:rsid w:val="00330CA6"/>
    <w:rsid w:val="003325D9"/>
    <w:rsid w:val="0033404A"/>
    <w:rsid w:val="003345B2"/>
    <w:rsid w:val="00334CE6"/>
    <w:rsid w:val="00334E72"/>
    <w:rsid w:val="00336155"/>
    <w:rsid w:val="00336679"/>
    <w:rsid w:val="00336963"/>
    <w:rsid w:val="00337BFB"/>
    <w:rsid w:val="00337C38"/>
    <w:rsid w:val="00340D68"/>
    <w:rsid w:val="00340E01"/>
    <w:rsid w:val="00340FB4"/>
    <w:rsid w:val="003417E8"/>
    <w:rsid w:val="00341F11"/>
    <w:rsid w:val="0034204E"/>
    <w:rsid w:val="003437F2"/>
    <w:rsid w:val="00343B3A"/>
    <w:rsid w:val="00344B45"/>
    <w:rsid w:val="003470AA"/>
    <w:rsid w:val="003477D0"/>
    <w:rsid w:val="00347932"/>
    <w:rsid w:val="00350006"/>
    <w:rsid w:val="00350289"/>
    <w:rsid w:val="0035046A"/>
    <w:rsid w:val="00350D23"/>
    <w:rsid w:val="00350DFF"/>
    <w:rsid w:val="00351245"/>
    <w:rsid w:val="0035293E"/>
    <w:rsid w:val="00352C7D"/>
    <w:rsid w:val="003537F7"/>
    <w:rsid w:val="0035534A"/>
    <w:rsid w:val="003558DE"/>
    <w:rsid w:val="00355E0E"/>
    <w:rsid w:val="00356450"/>
    <w:rsid w:val="00356882"/>
    <w:rsid w:val="00357057"/>
    <w:rsid w:val="00360572"/>
    <w:rsid w:val="00360BC8"/>
    <w:rsid w:val="003616C4"/>
    <w:rsid w:val="0036265C"/>
    <w:rsid w:val="0036267A"/>
    <w:rsid w:val="003626FA"/>
    <w:rsid w:val="00362B61"/>
    <w:rsid w:val="00364081"/>
    <w:rsid w:val="00365840"/>
    <w:rsid w:val="00366054"/>
    <w:rsid w:val="00366C65"/>
    <w:rsid w:val="00366CFD"/>
    <w:rsid w:val="00370A1C"/>
    <w:rsid w:val="00370D65"/>
    <w:rsid w:val="00372B37"/>
    <w:rsid w:val="00372E50"/>
    <w:rsid w:val="00373375"/>
    <w:rsid w:val="003734EF"/>
    <w:rsid w:val="00373670"/>
    <w:rsid w:val="00375784"/>
    <w:rsid w:val="003757CA"/>
    <w:rsid w:val="0037625C"/>
    <w:rsid w:val="0037657F"/>
    <w:rsid w:val="00376A9A"/>
    <w:rsid w:val="00377E72"/>
    <w:rsid w:val="00380047"/>
    <w:rsid w:val="003817AB"/>
    <w:rsid w:val="0038207D"/>
    <w:rsid w:val="00382C15"/>
    <w:rsid w:val="00382C2D"/>
    <w:rsid w:val="0038319A"/>
    <w:rsid w:val="00383C99"/>
    <w:rsid w:val="00384082"/>
    <w:rsid w:val="0038466A"/>
    <w:rsid w:val="00384D4D"/>
    <w:rsid w:val="00384FDC"/>
    <w:rsid w:val="00385A11"/>
    <w:rsid w:val="0038633A"/>
    <w:rsid w:val="003876FF"/>
    <w:rsid w:val="00387ABB"/>
    <w:rsid w:val="00390DD0"/>
    <w:rsid w:val="00393477"/>
    <w:rsid w:val="003948B8"/>
    <w:rsid w:val="003952AE"/>
    <w:rsid w:val="00396949"/>
    <w:rsid w:val="0039713B"/>
    <w:rsid w:val="00397A8C"/>
    <w:rsid w:val="003A1BA2"/>
    <w:rsid w:val="003A230F"/>
    <w:rsid w:val="003A4317"/>
    <w:rsid w:val="003A4E74"/>
    <w:rsid w:val="003A5ADB"/>
    <w:rsid w:val="003A68D0"/>
    <w:rsid w:val="003B01D0"/>
    <w:rsid w:val="003B0531"/>
    <w:rsid w:val="003B1015"/>
    <w:rsid w:val="003B2184"/>
    <w:rsid w:val="003B416F"/>
    <w:rsid w:val="003B4721"/>
    <w:rsid w:val="003B5E1D"/>
    <w:rsid w:val="003B61F9"/>
    <w:rsid w:val="003B6612"/>
    <w:rsid w:val="003B693F"/>
    <w:rsid w:val="003B69AF"/>
    <w:rsid w:val="003B72CC"/>
    <w:rsid w:val="003B7531"/>
    <w:rsid w:val="003B7EBC"/>
    <w:rsid w:val="003C011B"/>
    <w:rsid w:val="003C1000"/>
    <w:rsid w:val="003C1E46"/>
    <w:rsid w:val="003C2014"/>
    <w:rsid w:val="003C2DB8"/>
    <w:rsid w:val="003C31E1"/>
    <w:rsid w:val="003C33E2"/>
    <w:rsid w:val="003C3825"/>
    <w:rsid w:val="003C3C61"/>
    <w:rsid w:val="003C5891"/>
    <w:rsid w:val="003C655C"/>
    <w:rsid w:val="003C6847"/>
    <w:rsid w:val="003C7CF2"/>
    <w:rsid w:val="003D03BA"/>
    <w:rsid w:val="003D0498"/>
    <w:rsid w:val="003D0C4A"/>
    <w:rsid w:val="003D11DC"/>
    <w:rsid w:val="003D18EC"/>
    <w:rsid w:val="003D19FD"/>
    <w:rsid w:val="003D2839"/>
    <w:rsid w:val="003D2F00"/>
    <w:rsid w:val="003D51ED"/>
    <w:rsid w:val="003D56BE"/>
    <w:rsid w:val="003E0394"/>
    <w:rsid w:val="003E0F5D"/>
    <w:rsid w:val="003E1766"/>
    <w:rsid w:val="003E1A34"/>
    <w:rsid w:val="003E2305"/>
    <w:rsid w:val="003E3369"/>
    <w:rsid w:val="003E3759"/>
    <w:rsid w:val="003E4E8A"/>
    <w:rsid w:val="003E5BC9"/>
    <w:rsid w:val="003E6678"/>
    <w:rsid w:val="003E6686"/>
    <w:rsid w:val="003E6905"/>
    <w:rsid w:val="003E6C19"/>
    <w:rsid w:val="003E7C6E"/>
    <w:rsid w:val="003F0C83"/>
    <w:rsid w:val="003F1533"/>
    <w:rsid w:val="003F311F"/>
    <w:rsid w:val="003F3427"/>
    <w:rsid w:val="003F59A7"/>
    <w:rsid w:val="003F6775"/>
    <w:rsid w:val="003F68A8"/>
    <w:rsid w:val="003F6D34"/>
    <w:rsid w:val="003F72C4"/>
    <w:rsid w:val="00401A72"/>
    <w:rsid w:val="00401C55"/>
    <w:rsid w:val="00402349"/>
    <w:rsid w:val="004024BB"/>
    <w:rsid w:val="004033B9"/>
    <w:rsid w:val="00403583"/>
    <w:rsid w:val="00403680"/>
    <w:rsid w:val="00403CF3"/>
    <w:rsid w:val="00403E7C"/>
    <w:rsid w:val="00404392"/>
    <w:rsid w:val="00404EEE"/>
    <w:rsid w:val="004107B5"/>
    <w:rsid w:val="00410E5E"/>
    <w:rsid w:val="00411929"/>
    <w:rsid w:val="004125E7"/>
    <w:rsid w:val="00413586"/>
    <w:rsid w:val="00413B22"/>
    <w:rsid w:val="00415776"/>
    <w:rsid w:val="0041577C"/>
    <w:rsid w:val="00415AF1"/>
    <w:rsid w:val="0041720B"/>
    <w:rsid w:val="00417EE4"/>
    <w:rsid w:val="0042041B"/>
    <w:rsid w:val="004204BA"/>
    <w:rsid w:val="00420AFF"/>
    <w:rsid w:val="0042107D"/>
    <w:rsid w:val="004214CD"/>
    <w:rsid w:val="00423CDF"/>
    <w:rsid w:val="00423D6F"/>
    <w:rsid w:val="00424294"/>
    <w:rsid w:val="00425BE2"/>
    <w:rsid w:val="00425C1D"/>
    <w:rsid w:val="00425C29"/>
    <w:rsid w:val="004262B5"/>
    <w:rsid w:val="004262B8"/>
    <w:rsid w:val="00426A0C"/>
    <w:rsid w:val="004275B4"/>
    <w:rsid w:val="00427A64"/>
    <w:rsid w:val="00427B7D"/>
    <w:rsid w:val="004302A6"/>
    <w:rsid w:val="0043191E"/>
    <w:rsid w:val="00432B55"/>
    <w:rsid w:val="004359F7"/>
    <w:rsid w:val="00435BA8"/>
    <w:rsid w:val="004362F3"/>
    <w:rsid w:val="00436A99"/>
    <w:rsid w:val="0044207A"/>
    <w:rsid w:val="004422F0"/>
    <w:rsid w:val="0044241B"/>
    <w:rsid w:val="00443B45"/>
    <w:rsid w:val="00443F5D"/>
    <w:rsid w:val="004441C1"/>
    <w:rsid w:val="00444454"/>
    <w:rsid w:val="0044582B"/>
    <w:rsid w:val="00445C0E"/>
    <w:rsid w:val="00445DEE"/>
    <w:rsid w:val="004463C3"/>
    <w:rsid w:val="0044742A"/>
    <w:rsid w:val="00447511"/>
    <w:rsid w:val="0045094C"/>
    <w:rsid w:val="004511C3"/>
    <w:rsid w:val="00451AA0"/>
    <w:rsid w:val="00453144"/>
    <w:rsid w:val="00453FCC"/>
    <w:rsid w:val="0045526C"/>
    <w:rsid w:val="00455555"/>
    <w:rsid w:val="004566DD"/>
    <w:rsid w:val="004609C1"/>
    <w:rsid w:val="00460F19"/>
    <w:rsid w:val="004619E4"/>
    <w:rsid w:val="00461A2A"/>
    <w:rsid w:val="00462789"/>
    <w:rsid w:val="00462C15"/>
    <w:rsid w:val="0046362E"/>
    <w:rsid w:val="0046403C"/>
    <w:rsid w:val="004658BA"/>
    <w:rsid w:val="00465D83"/>
    <w:rsid w:val="0046608B"/>
    <w:rsid w:val="00466CF3"/>
    <w:rsid w:val="004672C0"/>
    <w:rsid w:val="0046745F"/>
    <w:rsid w:val="004676EB"/>
    <w:rsid w:val="00471457"/>
    <w:rsid w:val="00471462"/>
    <w:rsid w:val="00473E88"/>
    <w:rsid w:val="00476080"/>
    <w:rsid w:val="0047699C"/>
    <w:rsid w:val="00476A91"/>
    <w:rsid w:val="0047716B"/>
    <w:rsid w:val="00477E30"/>
    <w:rsid w:val="00480522"/>
    <w:rsid w:val="0048087C"/>
    <w:rsid w:val="00481033"/>
    <w:rsid w:val="004816DE"/>
    <w:rsid w:val="004833E4"/>
    <w:rsid w:val="0048342D"/>
    <w:rsid w:val="00484892"/>
    <w:rsid w:val="00484B02"/>
    <w:rsid w:val="00485DC8"/>
    <w:rsid w:val="004860EF"/>
    <w:rsid w:val="0048666D"/>
    <w:rsid w:val="0048737F"/>
    <w:rsid w:val="0048756A"/>
    <w:rsid w:val="00487B1F"/>
    <w:rsid w:val="00490816"/>
    <w:rsid w:val="00490F90"/>
    <w:rsid w:val="004918E6"/>
    <w:rsid w:val="004927D0"/>
    <w:rsid w:val="00493313"/>
    <w:rsid w:val="004934C8"/>
    <w:rsid w:val="004935BA"/>
    <w:rsid w:val="004937F2"/>
    <w:rsid w:val="00493CCC"/>
    <w:rsid w:val="00494146"/>
    <w:rsid w:val="0049522A"/>
    <w:rsid w:val="004952A5"/>
    <w:rsid w:val="004954FB"/>
    <w:rsid w:val="00496E70"/>
    <w:rsid w:val="00496FD2"/>
    <w:rsid w:val="00497205"/>
    <w:rsid w:val="004A03EC"/>
    <w:rsid w:val="004A14C4"/>
    <w:rsid w:val="004A213D"/>
    <w:rsid w:val="004A2A78"/>
    <w:rsid w:val="004A334F"/>
    <w:rsid w:val="004A3E18"/>
    <w:rsid w:val="004A3F37"/>
    <w:rsid w:val="004A40AC"/>
    <w:rsid w:val="004A5666"/>
    <w:rsid w:val="004A5F86"/>
    <w:rsid w:val="004A616E"/>
    <w:rsid w:val="004A70D3"/>
    <w:rsid w:val="004A7667"/>
    <w:rsid w:val="004B1DF1"/>
    <w:rsid w:val="004B2608"/>
    <w:rsid w:val="004B30B2"/>
    <w:rsid w:val="004B4276"/>
    <w:rsid w:val="004B4E77"/>
    <w:rsid w:val="004B5256"/>
    <w:rsid w:val="004B56B3"/>
    <w:rsid w:val="004B5B1D"/>
    <w:rsid w:val="004B6412"/>
    <w:rsid w:val="004B65AF"/>
    <w:rsid w:val="004C0255"/>
    <w:rsid w:val="004C1121"/>
    <w:rsid w:val="004C2E46"/>
    <w:rsid w:val="004C4052"/>
    <w:rsid w:val="004C42B9"/>
    <w:rsid w:val="004C47FF"/>
    <w:rsid w:val="004C4CBD"/>
    <w:rsid w:val="004C4E3B"/>
    <w:rsid w:val="004C548A"/>
    <w:rsid w:val="004C57AE"/>
    <w:rsid w:val="004C5D3B"/>
    <w:rsid w:val="004C6378"/>
    <w:rsid w:val="004C68D3"/>
    <w:rsid w:val="004C7A97"/>
    <w:rsid w:val="004C7DD7"/>
    <w:rsid w:val="004D13B4"/>
    <w:rsid w:val="004D2071"/>
    <w:rsid w:val="004D2242"/>
    <w:rsid w:val="004D29D6"/>
    <w:rsid w:val="004D33E0"/>
    <w:rsid w:val="004D3CA8"/>
    <w:rsid w:val="004D4490"/>
    <w:rsid w:val="004D5CEE"/>
    <w:rsid w:val="004D78C8"/>
    <w:rsid w:val="004E0369"/>
    <w:rsid w:val="004E0478"/>
    <w:rsid w:val="004E13EC"/>
    <w:rsid w:val="004E1401"/>
    <w:rsid w:val="004E1A54"/>
    <w:rsid w:val="004E4C03"/>
    <w:rsid w:val="004E5859"/>
    <w:rsid w:val="004F0D0A"/>
    <w:rsid w:val="004F15BD"/>
    <w:rsid w:val="004F2825"/>
    <w:rsid w:val="004F2919"/>
    <w:rsid w:val="004F2B70"/>
    <w:rsid w:val="004F50B2"/>
    <w:rsid w:val="004F5A29"/>
    <w:rsid w:val="004F641E"/>
    <w:rsid w:val="004F7AD4"/>
    <w:rsid w:val="005000CE"/>
    <w:rsid w:val="005007C7"/>
    <w:rsid w:val="00500A19"/>
    <w:rsid w:val="005015F4"/>
    <w:rsid w:val="0050186D"/>
    <w:rsid w:val="005019CA"/>
    <w:rsid w:val="00502854"/>
    <w:rsid w:val="00502A47"/>
    <w:rsid w:val="00504AC4"/>
    <w:rsid w:val="00504F38"/>
    <w:rsid w:val="005052A8"/>
    <w:rsid w:val="005060C0"/>
    <w:rsid w:val="00506CD7"/>
    <w:rsid w:val="0050764C"/>
    <w:rsid w:val="0051000A"/>
    <w:rsid w:val="00510A2B"/>
    <w:rsid w:val="00512D96"/>
    <w:rsid w:val="00513684"/>
    <w:rsid w:val="00514735"/>
    <w:rsid w:val="00514A88"/>
    <w:rsid w:val="00515018"/>
    <w:rsid w:val="00515C3D"/>
    <w:rsid w:val="00516572"/>
    <w:rsid w:val="0051755E"/>
    <w:rsid w:val="005204F7"/>
    <w:rsid w:val="00521D6D"/>
    <w:rsid w:val="005224C3"/>
    <w:rsid w:val="00522C87"/>
    <w:rsid w:val="005233D6"/>
    <w:rsid w:val="005245FD"/>
    <w:rsid w:val="00524692"/>
    <w:rsid w:val="00524CB1"/>
    <w:rsid w:val="005278FF"/>
    <w:rsid w:val="00527A84"/>
    <w:rsid w:val="00530E91"/>
    <w:rsid w:val="00531025"/>
    <w:rsid w:val="005314CD"/>
    <w:rsid w:val="00532C42"/>
    <w:rsid w:val="00534F9F"/>
    <w:rsid w:val="00535982"/>
    <w:rsid w:val="00535C2B"/>
    <w:rsid w:val="00535C4F"/>
    <w:rsid w:val="00536B1E"/>
    <w:rsid w:val="00537EF0"/>
    <w:rsid w:val="00537F47"/>
    <w:rsid w:val="005409E8"/>
    <w:rsid w:val="005417C5"/>
    <w:rsid w:val="0054181F"/>
    <w:rsid w:val="005426DA"/>
    <w:rsid w:val="00542B3E"/>
    <w:rsid w:val="005438E2"/>
    <w:rsid w:val="00543C57"/>
    <w:rsid w:val="00544A04"/>
    <w:rsid w:val="0054505F"/>
    <w:rsid w:val="0054613C"/>
    <w:rsid w:val="00546365"/>
    <w:rsid w:val="00546836"/>
    <w:rsid w:val="00546AE2"/>
    <w:rsid w:val="005471F3"/>
    <w:rsid w:val="00547241"/>
    <w:rsid w:val="0055053B"/>
    <w:rsid w:val="00550F12"/>
    <w:rsid w:val="00551759"/>
    <w:rsid w:val="00551D82"/>
    <w:rsid w:val="005526BE"/>
    <w:rsid w:val="005536E6"/>
    <w:rsid w:val="005543A6"/>
    <w:rsid w:val="005548BF"/>
    <w:rsid w:val="00554DA6"/>
    <w:rsid w:val="0055561D"/>
    <w:rsid w:val="00555DA8"/>
    <w:rsid w:val="00557872"/>
    <w:rsid w:val="00560647"/>
    <w:rsid w:val="00560988"/>
    <w:rsid w:val="00560C41"/>
    <w:rsid w:val="005613B6"/>
    <w:rsid w:val="00561B60"/>
    <w:rsid w:val="00561DA4"/>
    <w:rsid w:val="0056225D"/>
    <w:rsid w:val="0056274F"/>
    <w:rsid w:val="0056300D"/>
    <w:rsid w:val="005630F4"/>
    <w:rsid w:val="0056473F"/>
    <w:rsid w:val="0056548C"/>
    <w:rsid w:val="00565557"/>
    <w:rsid w:val="00566609"/>
    <w:rsid w:val="005675FE"/>
    <w:rsid w:val="00567BD2"/>
    <w:rsid w:val="00567D0B"/>
    <w:rsid w:val="00570434"/>
    <w:rsid w:val="005706FD"/>
    <w:rsid w:val="0057215F"/>
    <w:rsid w:val="00572327"/>
    <w:rsid w:val="00572CA0"/>
    <w:rsid w:val="005732F2"/>
    <w:rsid w:val="005734A8"/>
    <w:rsid w:val="00573525"/>
    <w:rsid w:val="00575133"/>
    <w:rsid w:val="005751E3"/>
    <w:rsid w:val="00575656"/>
    <w:rsid w:val="005759D0"/>
    <w:rsid w:val="00576A88"/>
    <w:rsid w:val="005800C4"/>
    <w:rsid w:val="00580810"/>
    <w:rsid w:val="00580E88"/>
    <w:rsid w:val="00580E8A"/>
    <w:rsid w:val="0058232A"/>
    <w:rsid w:val="0058366E"/>
    <w:rsid w:val="005838DF"/>
    <w:rsid w:val="0058414A"/>
    <w:rsid w:val="0058485B"/>
    <w:rsid w:val="005852BA"/>
    <w:rsid w:val="00585489"/>
    <w:rsid w:val="00585FCE"/>
    <w:rsid w:val="005860C9"/>
    <w:rsid w:val="005871DD"/>
    <w:rsid w:val="00587F71"/>
    <w:rsid w:val="0059006A"/>
    <w:rsid w:val="005916F9"/>
    <w:rsid w:val="00592045"/>
    <w:rsid w:val="00592AB4"/>
    <w:rsid w:val="00593BAA"/>
    <w:rsid w:val="005946A7"/>
    <w:rsid w:val="00594709"/>
    <w:rsid w:val="0059473D"/>
    <w:rsid w:val="00594C26"/>
    <w:rsid w:val="00594EC6"/>
    <w:rsid w:val="00595CA1"/>
    <w:rsid w:val="00596711"/>
    <w:rsid w:val="00597932"/>
    <w:rsid w:val="005A0631"/>
    <w:rsid w:val="005A1389"/>
    <w:rsid w:val="005A2BCD"/>
    <w:rsid w:val="005A3131"/>
    <w:rsid w:val="005A4E0D"/>
    <w:rsid w:val="005A5219"/>
    <w:rsid w:val="005A58E3"/>
    <w:rsid w:val="005A5C15"/>
    <w:rsid w:val="005A5EB0"/>
    <w:rsid w:val="005A6518"/>
    <w:rsid w:val="005A7833"/>
    <w:rsid w:val="005A7D18"/>
    <w:rsid w:val="005B130B"/>
    <w:rsid w:val="005B1AC9"/>
    <w:rsid w:val="005B1B34"/>
    <w:rsid w:val="005B1E91"/>
    <w:rsid w:val="005B1EF9"/>
    <w:rsid w:val="005B31A7"/>
    <w:rsid w:val="005B4CC4"/>
    <w:rsid w:val="005B4F05"/>
    <w:rsid w:val="005B5B1C"/>
    <w:rsid w:val="005B74AA"/>
    <w:rsid w:val="005C0808"/>
    <w:rsid w:val="005C08DF"/>
    <w:rsid w:val="005C2122"/>
    <w:rsid w:val="005C4102"/>
    <w:rsid w:val="005C6E42"/>
    <w:rsid w:val="005C72A2"/>
    <w:rsid w:val="005D0253"/>
    <w:rsid w:val="005D030D"/>
    <w:rsid w:val="005D2579"/>
    <w:rsid w:val="005D5C17"/>
    <w:rsid w:val="005D6A31"/>
    <w:rsid w:val="005D7617"/>
    <w:rsid w:val="005D777B"/>
    <w:rsid w:val="005E0027"/>
    <w:rsid w:val="005E0843"/>
    <w:rsid w:val="005E100A"/>
    <w:rsid w:val="005E27E1"/>
    <w:rsid w:val="005E3A14"/>
    <w:rsid w:val="005E44A9"/>
    <w:rsid w:val="005E47FC"/>
    <w:rsid w:val="005E5B28"/>
    <w:rsid w:val="005E675B"/>
    <w:rsid w:val="005F3C97"/>
    <w:rsid w:val="005F40B7"/>
    <w:rsid w:val="005F4967"/>
    <w:rsid w:val="005F496B"/>
    <w:rsid w:val="005F4D0A"/>
    <w:rsid w:val="005F5635"/>
    <w:rsid w:val="005F5920"/>
    <w:rsid w:val="005F5FE2"/>
    <w:rsid w:val="005F696C"/>
    <w:rsid w:val="005F6AFF"/>
    <w:rsid w:val="005F6CFF"/>
    <w:rsid w:val="005F6FBF"/>
    <w:rsid w:val="005F7FDD"/>
    <w:rsid w:val="006003F3"/>
    <w:rsid w:val="00600CAC"/>
    <w:rsid w:val="0060178B"/>
    <w:rsid w:val="00602239"/>
    <w:rsid w:val="006035B1"/>
    <w:rsid w:val="00603944"/>
    <w:rsid w:val="00603B56"/>
    <w:rsid w:val="006041A4"/>
    <w:rsid w:val="00605E6B"/>
    <w:rsid w:val="006067F9"/>
    <w:rsid w:val="006076FF"/>
    <w:rsid w:val="00607A44"/>
    <w:rsid w:val="0061028E"/>
    <w:rsid w:val="0061199A"/>
    <w:rsid w:val="00611B01"/>
    <w:rsid w:val="00611D92"/>
    <w:rsid w:val="00611EEE"/>
    <w:rsid w:val="0061283C"/>
    <w:rsid w:val="006129EC"/>
    <w:rsid w:val="00613BEE"/>
    <w:rsid w:val="00613D98"/>
    <w:rsid w:val="00614056"/>
    <w:rsid w:val="0061435F"/>
    <w:rsid w:val="00614757"/>
    <w:rsid w:val="00615376"/>
    <w:rsid w:val="006158EE"/>
    <w:rsid w:val="00615FE4"/>
    <w:rsid w:val="00616CD9"/>
    <w:rsid w:val="00617FB8"/>
    <w:rsid w:val="006203B9"/>
    <w:rsid w:val="00621357"/>
    <w:rsid w:val="006215A7"/>
    <w:rsid w:val="00624ECC"/>
    <w:rsid w:val="006253E4"/>
    <w:rsid w:val="00625BCD"/>
    <w:rsid w:val="00631DA0"/>
    <w:rsid w:val="00634755"/>
    <w:rsid w:val="00634B95"/>
    <w:rsid w:val="00634E21"/>
    <w:rsid w:val="00637EFB"/>
    <w:rsid w:val="00640407"/>
    <w:rsid w:val="00642C21"/>
    <w:rsid w:val="00642FDF"/>
    <w:rsid w:val="00644C67"/>
    <w:rsid w:val="006450CE"/>
    <w:rsid w:val="0064518F"/>
    <w:rsid w:val="0064581C"/>
    <w:rsid w:val="00646AD2"/>
    <w:rsid w:val="00650866"/>
    <w:rsid w:val="00651D0A"/>
    <w:rsid w:val="0065291E"/>
    <w:rsid w:val="006537D6"/>
    <w:rsid w:val="00653D68"/>
    <w:rsid w:val="00654C7A"/>
    <w:rsid w:val="00654EA0"/>
    <w:rsid w:val="00654EBB"/>
    <w:rsid w:val="00655A56"/>
    <w:rsid w:val="006572D8"/>
    <w:rsid w:val="00657D51"/>
    <w:rsid w:val="00657F56"/>
    <w:rsid w:val="00660034"/>
    <w:rsid w:val="00661EBA"/>
    <w:rsid w:val="0066226E"/>
    <w:rsid w:val="0066253C"/>
    <w:rsid w:val="006628CE"/>
    <w:rsid w:val="00666344"/>
    <w:rsid w:val="00666732"/>
    <w:rsid w:val="00666DBE"/>
    <w:rsid w:val="006673FD"/>
    <w:rsid w:val="00667AA1"/>
    <w:rsid w:val="0067007D"/>
    <w:rsid w:val="0067044E"/>
    <w:rsid w:val="00671468"/>
    <w:rsid w:val="00671951"/>
    <w:rsid w:val="006719E7"/>
    <w:rsid w:val="00671E20"/>
    <w:rsid w:val="00672521"/>
    <w:rsid w:val="00672D48"/>
    <w:rsid w:val="00673AFA"/>
    <w:rsid w:val="00674688"/>
    <w:rsid w:val="00674A49"/>
    <w:rsid w:val="00674F66"/>
    <w:rsid w:val="006752D3"/>
    <w:rsid w:val="00676370"/>
    <w:rsid w:val="006777C3"/>
    <w:rsid w:val="00680C8B"/>
    <w:rsid w:val="00680CC7"/>
    <w:rsid w:val="00681FAA"/>
    <w:rsid w:val="006820AE"/>
    <w:rsid w:val="006839B1"/>
    <w:rsid w:val="00683E37"/>
    <w:rsid w:val="00684678"/>
    <w:rsid w:val="006848F3"/>
    <w:rsid w:val="00684B11"/>
    <w:rsid w:val="00685C2B"/>
    <w:rsid w:val="00686813"/>
    <w:rsid w:val="00686B0E"/>
    <w:rsid w:val="00686D99"/>
    <w:rsid w:val="00687D22"/>
    <w:rsid w:val="00690151"/>
    <w:rsid w:val="006904E5"/>
    <w:rsid w:val="00691D38"/>
    <w:rsid w:val="00691D4D"/>
    <w:rsid w:val="00693AD4"/>
    <w:rsid w:val="0069426B"/>
    <w:rsid w:val="00694634"/>
    <w:rsid w:val="00694CFD"/>
    <w:rsid w:val="00695141"/>
    <w:rsid w:val="00695CF3"/>
    <w:rsid w:val="006960AD"/>
    <w:rsid w:val="00697005"/>
    <w:rsid w:val="00697135"/>
    <w:rsid w:val="00697C9C"/>
    <w:rsid w:val="00697DF5"/>
    <w:rsid w:val="006A0A62"/>
    <w:rsid w:val="006A114A"/>
    <w:rsid w:val="006A1854"/>
    <w:rsid w:val="006A37A7"/>
    <w:rsid w:val="006A49A6"/>
    <w:rsid w:val="006A4C81"/>
    <w:rsid w:val="006A5B9C"/>
    <w:rsid w:val="006A5DBF"/>
    <w:rsid w:val="006A6C7D"/>
    <w:rsid w:val="006B0158"/>
    <w:rsid w:val="006B0546"/>
    <w:rsid w:val="006B1396"/>
    <w:rsid w:val="006B277A"/>
    <w:rsid w:val="006B450C"/>
    <w:rsid w:val="006B52EF"/>
    <w:rsid w:val="006B6B1C"/>
    <w:rsid w:val="006B6F2A"/>
    <w:rsid w:val="006C0E46"/>
    <w:rsid w:val="006C0E78"/>
    <w:rsid w:val="006C0FB2"/>
    <w:rsid w:val="006C113B"/>
    <w:rsid w:val="006C1B50"/>
    <w:rsid w:val="006C2CEE"/>
    <w:rsid w:val="006C3323"/>
    <w:rsid w:val="006C40CE"/>
    <w:rsid w:val="006C4FEE"/>
    <w:rsid w:val="006C56BD"/>
    <w:rsid w:val="006C651E"/>
    <w:rsid w:val="006C6BEE"/>
    <w:rsid w:val="006C725F"/>
    <w:rsid w:val="006C7448"/>
    <w:rsid w:val="006D0B0A"/>
    <w:rsid w:val="006D274A"/>
    <w:rsid w:val="006D398F"/>
    <w:rsid w:val="006D4823"/>
    <w:rsid w:val="006D6A1B"/>
    <w:rsid w:val="006D6A37"/>
    <w:rsid w:val="006D71C5"/>
    <w:rsid w:val="006D766B"/>
    <w:rsid w:val="006E0DFB"/>
    <w:rsid w:val="006E1665"/>
    <w:rsid w:val="006E1A7B"/>
    <w:rsid w:val="006E2DE8"/>
    <w:rsid w:val="006E320C"/>
    <w:rsid w:val="006E34C1"/>
    <w:rsid w:val="006E48AE"/>
    <w:rsid w:val="006E5EB7"/>
    <w:rsid w:val="006E5FE2"/>
    <w:rsid w:val="006E716C"/>
    <w:rsid w:val="006E7768"/>
    <w:rsid w:val="006F032B"/>
    <w:rsid w:val="006F07B6"/>
    <w:rsid w:val="006F1A43"/>
    <w:rsid w:val="006F2E80"/>
    <w:rsid w:val="006F3F6F"/>
    <w:rsid w:val="006F47F9"/>
    <w:rsid w:val="006F5716"/>
    <w:rsid w:val="006F70E0"/>
    <w:rsid w:val="006F7541"/>
    <w:rsid w:val="006F7B01"/>
    <w:rsid w:val="00701062"/>
    <w:rsid w:val="0070118C"/>
    <w:rsid w:val="0070160D"/>
    <w:rsid w:val="00703634"/>
    <w:rsid w:val="007046CB"/>
    <w:rsid w:val="0070524D"/>
    <w:rsid w:val="00705780"/>
    <w:rsid w:val="00705D76"/>
    <w:rsid w:val="00705FF4"/>
    <w:rsid w:val="00706396"/>
    <w:rsid w:val="0070694D"/>
    <w:rsid w:val="00706DFC"/>
    <w:rsid w:val="0070765E"/>
    <w:rsid w:val="007102D2"/>
    <w:rsid w:val="00711509"/>
    <w:rsid w:val="007128D0"/>
    <w:rsid w:val="00714190"/>
    <w:rsid w:val="007156DC"/>
    <w:rsid w:val="0071729C"/>
    <w:rsid w:val="007176B8"/>
    <w:rsid w:val="00717BA7"/>
    <w:rsid w:val="00720931"/>
    <w:rsid w:val="00720A5F"/>
    <w:rsid w:val="00721481"/>
    <w:rsid w:val="00722858"/>
    <w:rsid w:val="00722A01"/>
    <w:rsid w:val="00722BFC"/>
    <w:rsid w:val="00723D04"/>
    <w:rsid w:val="007243A7"/>
    <w:rsid w:val="007262C1"/>
    <w:rsid w:val="0072656A"/>
    <w:rsid w:val="00726A81"/>
    <w:rsid w:val="00727B0B"/>
    <w:rsid w:val="00731C04"/>
    <w:rsid w:val="0073214D"/>
    <w:rsid w:val="00732154"/>
    <w:rsid w:val="00732240"/>
    <w:rsid w:val="007323D2"/>
    <w:rsid w:val="007328C5"/>
    <w:rsid w:val="00733790"/>
    <w:rsid w:val="00733A80"/>
    <w:rsid w:val="007340B7"/>
    <w:rsid w:val="00734A51"/>
    <w:rsid w:val="00735012"/>
    <w:rsid w:val="007350FB"/>
    <w:rsid w:val="0073595C"/>
    <w:rsid w:val="007368EA"/>
    <w:rsid w:val="00736C9F"/>
    <w:rsid w:val="00740E7D"/>
    <w:rsid w:val="00742359"/>
    <w:rsid w:val="00743D3F"/>
    <w:rsid w:val="0074444D"/>
    <w:rsid w:val="00744A2B"/>
    <w:rsid w:val="00745184"/>
    <w:rsid w:val="0074633C"/>
    <w:rsid w:val="007477EF"/>
    <w:rsid w:val="00747DE6"/>
    <w:rsid w:val="0075090C"/>
    <w:rsid w:val="00751045"/>
    <w:rsid w:val="00751271"/>
    <w:rsid w:val="0075260A"/>
    <w:rsid w:val="007530C5"/>
    <w:rsid w:val="00754099"/>
    <w:rsid w:val="00754726"/>
    <w:rsid w:val="0075489A"/>
    <w:rsid w:val="0075706B"/>
    <w:rsid w:val="007612DD"/>
    <w:rsid w:val="007615DA"/>
    <w:rsid w:val="00761FAB"/>
    <w:rsid w:val="00762F60"/>
    <w:rsid w:val="007657E5"/>
    <w:rsid w:val="0076646A"/>
    <w:rsid w:val="007664F7"/>
    <w:rsid w:val="00766694"/>
    <w:rsid w:val="00770305"/>
    <w:rsid w:val="00770EA6"/>
    <w:rsid w:val="00771364"/>
    <w:rsid w:val="007721D4"/>
    <w:rsid w:val="007725D3"/>
    <w:rsid w:val="00773172"/>
    <w:rsid w:val="0077468A"/>
    <w:rsid w:val="0077509B"/>
    <w:rsid w:val="00775295"/>
    <w:rsid w:val="0077731B"/>
    <w:rsid w:val="00777EC5"/>
    <w:rsid w:val="007827B5"/>
    <w:rsid w:val="00782DF4"/>
    <w:rsid w:val="007839FB"/>
    <w:rsid w:val="00783C49"/>
    <w:rsid w:val="00783F9C"/>
    <w:rsid w:val="00785714"/>
    <w:rsid w:val="00785FCE"/>
    <w:rsid w:val="007862AC"/>
    <w:rsid w:val="00786755"/>
    <w:rsid w:val="007877A1"/>
    <w:rsid w:val="0078795D"/>
    <w:rsid w:val="00787C33"/>
    <w:rsid w:val="00790E64"/>
    <w:rsid w:val="007911DE"/>
    <w:rsid w:val="00791E88"/>
    <w:rsid w:val="00792450"/>
    <w:rsid w:val="007925D1"/>
    <w:rsid w:val="007926A8"/>
    <w:rsid w:val="00794E26"/>
    <w:rsid w:val="00796FBB"/>
    <w:rsid w:val="007976DF"/>
    <w:rsid w:val="00797FD5"/>
    <w:rsid w:val="007A0B22"/>
    <w:rsid w:val="007A1392"/>
    <w:rsid w:val="007A2EA5"/>
    <w:rsid w:val="007A2EC5"/>
    <w:rsid w:val="007A3AC7"/>
    <w:rsid w:val="007A3CF8"/>
    <w:rsid w:val="007A4640"/>
    <w:rsid w:val="007A4D2D"/>
    <w:rsid w:val="007A7DD7"/>
    <w:rsid w:val="007B0CE2"/>
    <w:rsid w:val="007B177B"/>
    <w:rsid w:val="007B2149"/>
    <w:rsid w:val="007B32AA"/>
    <w:rsid w:val="007B43CD"/>
    <w:rsid w:val="007B6156"/>
    <w:rsid w:val="007B7EA5"/>
    <w:rsid w:val="007B7FE3"/>
    <w:rsid w:val="007C01EA"/>
    <w:rsid w:val="007C0297"/>
    <w:rsid w:val="007C06D5"/>
    <w:rsid w:val="007C0E20"/>
    <w:rsid w:val="007C0F4B"/>
    <w:rsid w:val="007C0F72"/>
    <w:rsid w:val="007C207F"/>
    <w:rsid w:val="007C3437"/>
    <w:rsid w:val="007C6079"/>
    <w:rsid w:val="007C6306"/>
    <w:rsid w:val="007C678E"/>
    <w:rsid w:val="007D05B2"/>
    <w:rsid w:val="007D0C4D"/>
    <w:rsid w:val="007D17B0"/>
    <w:rsid w:val="007D1852"/>
    <w:rsid w:val="007D2F77"/>
    <w:rsid w:val="007D49E5"/>
    <w:rsid w:val="007D54B9"/>
    <w:rsid w:val="007D6370"/>
    <w:rsid w:val="007D6E4C"/>
    <w:rsid w:val="007E0C6C"/>
    <w:rsid w:val="007E271A"/>
    <w:rsid w:val="007E2D37"/>
    <w:rsid w:val="007E3ED1"/>
    <w:rsid w:val="007E430D"/>
    <w:rsid w:val="007E5308"/>
    <w:rsid w:val="007E5430"/>
    <w:rsid w:val="007E6286"/>
    <w:rsid w:val="007E62DE"/>
    <w:rsid w:val="007E7D58"/>
    <w:rsid w:val="007F02CB"/>
    <w:rsid w:val="007F1A29"/>
    <w:rsid w:val="007F1A43"/>
    <w:rsid w:val="007F1BA8"/>
    <w:rsid w:val="007F2808"/>
    <w:rsid w:val="007F28FB"/>
    <w:rsid w:val="007F2BE8"/>
    <w:rsid w:val="007F325A"/>
    <w:rsid w:val="007F3E79"/>
    <w:rsid w:val="007F3F16"/>
    <w:rsid w:val="007F5FCB"/>
    <w:rsid w:val="007F7445"/>
    <w:rsid w:val="0080067E"/>
    <w:rsid w:val="00800845"/>
    <w:rsid w:val="008012FC"/>
    <w:rsid w:val="00801E7B"/>
    <w:rsid w:val="008021E0"/>
    <w:rsid w:val="00802F6F"/>
    <w:rsid w:val="00803389"/>
    <w:rsid w:val="00803732"/>
    <w:rsid w:val="008041B0"/>
    <w:rsid w:val="008052AA"/>
    <w:rsid w:val="00806803"/>
    <w:rsid w:val="00806A72"/>
    <w:rsid w:val="00806B14"/>
    <w:rsid w:val="008109C6"/>
    <w:rsid w:val="008121EA"/>
    <w:rsid w:val="00813A24"/>
    <w:rsid w:val="008149E1"/>
    <w:rsid w:val="00814A6A"/>
    <w:rsid w:val="00815471"/>
    <w:rsid w:val="0082017D"/>
    <w:rsid w:val="00820E47"/>
    <w:rsid w:val="00821990"/>
    <w:rsid w:val="00821EA6"/>
    <w:rsid w:val="0082294A"/>
    <w:rsid w:val="00822A1D"/>
    <w:rsid w:val="00822B25"/>
    <w:rsid w:val="008260B6"/>
    <w:rsid w:val="00826AAB"/>
    <w:rsid w:val="0082716B"/>
    <w:rsid w:val="00827FA8"/>
    <w:rsid w:val="00830206"/>
    <w:rsid w:val="00831D6D"/>
    <w:rsid w:val="0083228D"/>
    <w:rsid w:val="0083403A"/>
    <w:rsid w:val="00835151"/>
    <w:rsid w:val="00836B0E"/>
    <w:rsid w:val="00840423"/>
    <w:rsid w:val="00842FE7"/>
    <w:rsid w:val="0084314B"/>
    <w:rsid w:val="00843669"/>
    <w:rsid w:val="00844778"/>
    <w:rsid w:val="008449B2"/>
    <w:rsid w:val="008453E5"/>
    <w:rsid w:val="00845A4E"/>
    <w:rsid w:val="00846C9D"/>
    <w:rsid w:val="00850312"/>
    <w:rsid w:val="00851687"/>
    <w:rsid w:val="00851793"/>
    <w:rsid w:val="008518DF"/>
    <w:rsid w:val="008519D6"/>
    <w:rsid w:val="00851D80"/>
    <w:rsid w:val="00853DC9"/>
    <w:rsid w:val="008544BF"/>
    <w:rsid w:val="008545B6"/>
    <w:rsid w:val="00856943"/>
    <w:rsid w:val="00856D77"/>
    <w:rsid w:val="008574D5"/>
    <w:rsid w:val="00857800"/>
    <w:rsid w:val="00860A47"/>
    <w:rsid w:val="00861996"/>
    <w:rsid w:val="00861CB4"/>
    <w:rsid w:val="00863A8C"/>
    <w:rsid w:val="0086470E"/>
    <w:rsid w:val="00864880"/>
    <w:rsid w:val="00864A9F"/>
    <w:rsid w:val="00864D54"/>
    <w:rsid w:val="00865058"/>
    <w:rsid w:val="00865E5F"/>
    <w:rsid w:val="00866979"/>
    <w:rsid w:val="0086717B"/>
    <w:rsid w:val="0086752E"/>
    <w:rsid w:val="00867614"/>
    <w:rsid w:val="00870E21"/>
    <w:rsid w:val="00871316"/>
    <w:rsid w:val="00872EBE"/>
    <w:rsid w:val="00873145"/>
    <w:rsid w:val="0087338C"/>
    <w:rsid w:val="00873768"/>
    <w:rsid w:val="00876633"/>
    <w:rsid w:val="0087663C"/>
    <w:rsid w:val="0087664A"/>
    <w:rsid w:val="00881881"/>
    <w:rsid w:val="00882998"/>
    <w:rsid w:val="00883CA9"/>
    <w:rsid w:val="00884D60"/>
    <w:rsid w:val="0088501C"/>
    <w:rsid w:val="008854C6"/>
    <w:rsid w:val="008859F3"/>
    <w:rsid w:val="00885E4E"/>
    <w:rsid w:val="00886472"/>
    <w:rsid w:val="00887686"/>
    <w:rsid w:val="00887E08"/>
    <w:rsid w:val="008902AB"/>
    <w:rsid w:val="008913BF"/>
    <w:rsid w:val="00891E95"/>
    <w:rsid w:val="008924EC"/>
    <w:rsid w:val="008927DD"/>
    <w:rsid w:val="0089488F"/>
    <w:rsid w:val="008957A0"/>
    <w:rsid w:val="00895863"/>
    <w:rsid w:val="008960EF"/>
    <w:rsid w:val="008962ED"/>
    <w:rsid w:val="008965D7"/>
    <w:rsid w:val="00897C0E"/>
    <w:rsid w:val="008A1163"/>
    <w:rsid w:val="008A127F"/>
    <w:rsid w:val="008A23F8"/>
    <w:rsid w:val="008A292C"/>
    <w:rsid w:val="008A2F78"/>
    <w:rsid w:val="008A33A0"/>
    <w:rsid w:val="008A3D38"/>
    <w:rsid w:val="008A41F7"/>
    <w:rsid w:val="008A43C4"/>
    <w:rsid w:val="008A44D3"/>
    <w:rsid w:val="008A4BE4"/>
    <w:rsid w:val="008A505D"/>
    <w:rsid w:val="008A52CE"/>
    <w:rsid w:val="008A55C1"/>
    <w:rsid w:val="008A5991"/>
    <w:rsid w:val="008A60E2"/>
    <w:rsid w:val="008A691A"/>
    <w:rsid w:val="008A7725"/>
    <w:rsid w:val="008A77AB"/>
    <w:rsid w:val="008B08DD"/>
    <w:rsid w:val="008B1409"/>
    <w:rsid w:val="008B38DD"/>
    <w:rsid w:val="008B5092"/>
    <w:rsid w:val="008B545C"/>
    <w:rsid w:val="008B5A34"/>
    <w:rsid w:val="008B5F2C"/>
    <w:rsid w:val="008B67A2"/>
    <w:rsid w:val="008B76E1"/>
    <w:rsid w:val="008C035D"/>
    <w:rsid w:val="008C067F"/>
    <w:rsid w:val="008C19D8"/>
    <w:rsid w:val="008C1A93"/>
    <w:rsid w:val="008C1E41"/>
    <w:rsid w:val="008C2073"/>
    <w:rsid w:val="008C2F44"/>
    <w:rsid w:val="008C40D3"/>
    <w:rsid w:val="008C5FFB"/>
    <w:rsid w:val="008C66D5"/>
    <w:rsid w:val="008C6ABC"/>
    <w:rsid w:val="008C7344"/>
    <w:rsid w:val="008C76DA"/>
    <w:rsid w:val="008D0855"/>
    <w:rsid w:val="008D0C08"/>
    <w:rsid w:val="008D1057"/>
    <w:rsid w:val="008D14DC"/>
    <w:rsid w:val="008D23CF"/>
    <w:rsid w:val="008D2D73"/>
    <w:rsid w:val="008D32C9"/>
    <w:rsid w:val="008D3B64"/>
    <w:rsid w:val="008D3F19"/>
    <w:rsid w:val="008D4898"/>
    <w:rsid w:val="008D4C0A"/>
    <w:rsid w:val="008D5422"/>
    <w:rsid w:val="008D5BA3"/>
    <w:rsid w:val="008D6055"/>
    <w:rsid w:val="008D72AF"/>
    <w:rsid w:val="008D7E5E"/>
    <w:rsid w:val="008E204B"/>
    <w:rsid w:val="008E2D80"/>
    <w:rsid w:val="008E34C9"/>
    <w:rsid w:val="008E4226"/>
    <w:rsid w:val="008E4AC2"/>
    <w:rsid w:val="008E5524"/>
    <w:rsid w:val="008E605F"/>
    <w:rsid w:val="008E710A"/>
    <w:rsid w:val="008E77E8"/>
    <w:rsid w:val="008F0A9A"/>
    <w:rsid w:val="008F104C"/>
    <w:rsid w:val="008F1888"/>
    <w:rsid w:val="008F2548"/>
    <w:rsid w:val="008F2B93"/>
    <w:rsid w:val="008F3A57"/>
    <w:rsid w:val="008F3C7B"/>
    <w:rsid w:val="008F403F"/>
    <w:rsid w:val="008F4862"/>
    <w:rsid w:val="008F55E0"/>
    <w:rsid w:val="008F5839"/>
    <w:rsid w:val="008F6A70"/>
    <w:rsid w:val="00901031"/>
    <w:rsid w:val="009012A5"/>
    <w:rsid w:val="0090146C"/>
    <w:rsid w:val="00901CF0"/>
    <w:rsid w:val="00901DED"/>
    <w:rsid w:val="00901F3B"/>
    <w:rsid w:val="00901FE2"/>
    <w:rsid w:val="0090320D"/>
    <w:rsid w:val="009043A1"/>
    <w:rsid w:val="00904402"/>
    <w:rsid w:val="0090448C"/>
    <w:rsid w:val="009051EF"/>
    <w:rsid w:val="00906D57"/>
    <w:rsid w:val="00906FA8"/>
    <w:rsid w:val="009103F7"/>
    <w:rsid w:val="009133F9"/>
    <w:rsid w:val="00913C34"/>
    <w:rsid w:val="009142A1"/>
    <w:rsid w:val="009152FA"/>
    <w:rsid w:val="00916D1C"/>
    <w:rsid w:val="009177B0"/>
    <w:rsid w:val="00920118"/>
    <w:rsid w:val="009208EE"/>
    <w:rsid w:val="00920BCE"/>
    <w:rsid w:val="00920BFE"/>
    <w:rsid w:val="009211FA"/>
    <w:rsid w:val="009213A2"/>
    <w:rsid w:val="00923C1A"/>
    <w:rsid w:val="0092525D"/>
    <w:rsid w:val="00925601"/>
    <w:rsid w:val="00925A35"/>
    <w:rsid w:val="00925EEC"/>
    <w:rsid w:val="00926A21"/>
    <w:rsid w:val="00927260"/>
    <w:rsid w:val="00927868"/>
    <w:rsid w:val="00927E73"/>
    <w:rsid w:val="00927ECF"/>
    <w:rsid w:val="0093029E"/>
    <w:rsid w:val="00930791"/>
    <w:rsid w:val="00932689"/>
    <w:rsid w:val="009336A1"/>
    <w:rsid w:val="00933AB8"/>
    <w:rsid w:val="00933D77"/>
    <w:rsid w:val="009352FF"/>
    <w:rsid w:val="00935544"/>
    <w:rsid w:val="00936BA8"/>
    <w:rsid w:val="00936D73"/>
    <w:rsid w:val="00937DA2"/>
    <w:rsid w:val="00937E8C"/>
    <w:rsid w:val="0094034F"/>
    <w:rsid w:val="009421FD"/>
    <w:rsid w:val="00942279"/>
    <w:rsid w:val="00944367"/>
    <w:rsid w:val="00944667"/>
    <w:rsid w:val="00944AE5"/>
    <w:rsid w:val="00945BDB"/>
    <w:rsid w:val="00946DE1"/>
    <w:rsid w:val="0094779B"/>
    <w:rsid w:val="009502F1"/>
    <w:rsid w:val="009511D7"/>
    <w:rsid w:val="009514FE"/>
    <w:rsid w:val="00952172"/>
    <w:rsid w:val="00953047"/>
    <w:rsid w:val="00953B1E"/>
    <w:rsid w:val="00954868"/>
    <w:rsid w:val="009548D9"/>
    <w:rsid w:val="00954CCC"/>
    <w:rsid w:val="00955428"/>
    <w:rsid w:val="00955BBA"/>
    <w:rsid w:val="00956495"/>
    <w:rsid w:val="00957118"/>
    <w:rsid w:val="009609CB"/>
    <w:rsid w:val="009639D6"/>
    <w:rsid w:val="00963F6B"/>
    <w:rsid w:val="00964050"/>
    <w:rsid w:val="009654C2"/>
    <w:rsid w:val="00965998"/>
    <w:rsid w:val="00965CDB"/>
    <w:rsid w:val="009666C0"/>
    <w:rsid w:val="00966BC0"/>
    <w:rsid w:val="00966D6C"/>
    <w:rsid w:val="00966E5B"/>
    <w:rsid w:val="00967C94"/>
    <w:rsid w:val="00970340"/>
    <w:rsid w:val="00970C56"/>
    <w:rsid w:val="009711B2"/>
    <w:rsid w:val="00974BEB"/>
    <w:rsid w:val="0097588B"/>
    <w:rsid w:val="00975D6B"/>
    <w:rsid w:val="0097659F"/>
    <w:rsid w:val="00981844"/>
    <w:rsid w:val="00981D08"/>
    <w:rsid w:val="0098202B"/>
    <w:rsid w:val="00983DE1"/>
    <w:rsid w:val="00984F5F"/>
    <w:rsid w:val="00985485"/>
    <w:rsid w:val="009860A4"/>
    <w:rsid w:val="00990106"/>
    <w:rsid w:val="009902E8"/>
    <w:rsid w:val="00992965"/>
    <w:rsid w:val="009940B7"/>
    <w:rsid w:val="0099471D"/>
    <w:rsid w:val="0099699C"/>
    <w:rsid w:val="00996B6B"/>
    <w:rsid w:val="009971C7"/>
    <w:rsid w:val="009A09C5"/>
    <w:rsid w:val="009A20DA"/>
    <w:rsid w:val="009A2CC3"/>
    <w:rsid w:val="009A2F1F"/>
    <w:rsid w:val="009A3302"/>
    <w:rsid w:val="009A3F4C"/>
    <w:rsid w:val="009A53EC"/>
    <w:rsid w:val="009A5D3B"/>
    <w:rsid w:val="009A67C8"/>
    <w:rsid w:val="009A754C"/>
    <w:rsid w:val="009A7945"/>
    <w:rsid w:val="009B35F9"/>
    <w:rsid w:val="009B5C21"/>
    <w:rsid w:val="009B6426"/>
    <w:rsid w:val="009B6D4F"/>
    <w:rsid w:val="009C146F"/>
    <w:rsid w:val="009C19E4"/>
    <w:rsid w:val="009C213E"/>
    <w:rsid w:val="009C2D74"/>
    <w:rsid w:val="009C37E6"/>
    <w:rsid w:val="009C43A2"/>
    <w:rsid w:val="009C467A"/>
    <w:rsid w:val="009C4F11"/>
    <w:rsid w:val="009C52B3"/>
    <w:rsid w:val="009C7604"/>
    <w:rsid w:val="009D0832"/>
    <w:rsid w:val="009D0971"/>
    <w:rsid w:val="009D10E2"/>
    <w:rsid w:val="009D217B"/>
    <w:rsid w:val="009D2DB6"/>
    <w:rsid w:val="009D36FB"/>
    <w:rsid w:val="009D39D9"/>
    <w:rsid w:val="009D3F07"/>
    <w:rsid w:val="009D496E"/>
    <w:rsid w:val="009D5C62"/>
    <w:rsid w:val="009D5F0F"/>
    <w:rsid w:val="009D6087"/>
    <w:rsid w:val="009D65D4"/>
    <w:rsid w:val="009D66D7"/>
    <w:rsid w:val="009D68C3"/>
    <w:rsid w:val="009D72B8"/>
    <w:rsid w:val="009D7328"/>
    <w:rsid w:val="009E0084"/>
    <w:rsid w:val="009E0502"/>
    <w:rsid w:val="009E0550"/>
    <w:rsid w:val="009E0AFE"/>
    <w:rsid w:val="009E0EF7"/>
    <w:rsid w:val="009E23B3"/>
    <w:rsid w:val="009E2D05"/>
    <w:rsid w:val="009E32FD"/>
    <w:rsid w:val="009E6351"/>
    <w:rsid w:val="009E732D"/>
    <w:rsid w:val="009F173E"/>
    <w:rsid w:val="009F2268"/>
    <w:rsid w:val="009F26F1"/>
    <w:rsid w:val="009F2B1D"/>
    <w:rsid w:val="009F3979"/>
    <w:rsid w:val="009F3E7A"/>
    <w:rsid w:val="009F4943"/>
    <w:rsid w:val="009F4EC5"/>
    <w:rsid w:val="009F5237"/>
    <w:rsid w:val="009F56C7"/>
    <w:rsid w:val="009F5DE7"/>
    <w:rsid w:val="009F5E3E"/>
    <w:rsid w:val="009F6B73"/>
    <w:rsid w:val="00A0011F"/>
    <w:rsid w:val="00A001C0"/>
    <w:rsid w:val="00A00248"/>
    <w:rsid w:val="00A01FDD"/>
    <w:rsid w:val="00A04100"/>
    <w:rsid w:val="00A04C53"/>
    <w:rsid w:val="00A1035C"/>
    <w:rsid w:val="00A1118E"/>
    <w:rsid w:val="00A11DAC"/>
    <w:rsid w:val="00A11ED3"/>
    <w:rsid w:val="00A143B3"/>
    <w:rsid w:val="00A14B78"/>
    <w:rsid w:val="00A14E56"/>
    <w:rsid w:val="00A1673F"/>
    <w:rsid w:val="00A16B94"/>
    <w:rsid w:val="00A17EA8"/>
    <w:rsid w:val="00A2012D"/>
    <w:rsid w:val="00A2125A"/>
    <w:rsid w:val="00A21892"/>
    <w:rsid w:val="00A21F46"/>
    <w:rsid w:val="00A22C5D"/>
    <w:rsid w:val="00A23284"/>
    <w:rsid w:val="00A25830"/>
    <w:rsid w:val="00A25D04"/>
    <w:rsid w:val="00A26015"/>
    <w:rsid w:val="00A26169"/>
    <w:rsid w:val="00A26558"/>
    <w:rsid w:val="00A26B9A"/>
    <w:rsid w:val="00A272E4"/>
    <w:rsid w:val="00A27DD0"/>
    <w:rsid w:val="00A31597"/>
    <w:rsid w:val="00A325B9"/>
    <w:rsid w:val="00A33615"/>
    <w:rsid w:val="00A338A4"/>
    <w:rsid w:val="00A34025"/>
    <w:rsid w:val="00A34A99"/>
    <w:rsid w:val="00A36951"/>
    <w:rsid w:val="00A3719D"/>
    <w:rsid w:val="00A374BE"/>
    <w:rsid w:val="00A37B7C"/>
    <w:rsid w:val="00A40D81"/>
    <w:rsid w:val="00A41983"/>
    <w:rsid w:val="00A42D55"/>
    <w:rsid w:val="00A42EA0"/>
    <w:rsid w:val="00A435DA"/>
    <w:rsid w:val="00A43914"/>
    <w:rsid w:val="00A43A60"/>
    <w:rsid w:val="00A43EA8"/>
    <w:rsid w:val="00A43F5C"/>
    <w:rsid w:val="00A44101"/>
    <w:rsid w:val="00A44357"/>
    <w:rsid w:val="00A45155"/>
    <w:rsid w:val="00A46757"/>
    <w:rsid w:val="00A47BE6"/>
    <w:rsid w:val="00A508B4"/>
    <w:rsid w:val="00A51991"/>
    <w:rsid w:val="00A52811"/>
    <w:rsid w:val="00A538E7"/>
    <w:rsid w:val="00A54D21"/>
    <w:rsid w:val="00A5550B"/>
    <w:rsid w:val="00A5558E"/>
    <w:rsid w:val="00A555C8"/>
    <w:rsid w:val="00A56D93"/>
    <w:rsid w:val="00A57CA2"/>
    <w:rsid w:val="00A601DC"/>
    <w:rsid w:val="00A6099F"/>
    <w:rsid w:val="00A6167B"/>
    <w:rsid w:val="00A62041"/>
    <w:rsid w:val="00A62CD8"/>
    <w:rsid w:val="00A64F93"/>
    <w:rsid w:val="00A65B35"/>
    <w:rsid w:val="00A65D11"/>
    <w:rsid w:val="00A66D81"/>
    <w:rsid w:val="00A66F7C"/>
    <w:rsid w:val="00A671EC"/>
    <w:rsid w:val="00A72628"/>
    <w:rsid w:val="00A74390"/>
    <w:rsid w:val="00A74968"/>
    <w:rsid w:val="00A7598B"/>
    <w:rsid w:val="00A7611A"/>
    <w:rsid w:val="00A7747B"/>
    <w:rsid w:val="00A7760F"/>
    <w:rsid w:val="00A81187"/>
    <w:rsid w:val="00A81997"/>
    <w:rsid w:val="00A8213F"/>
    <w:rsid w:val="00A8257A"/>
    <w:rsid w:val="00A8325F"/>
    <w:rsid w:val="00A8393A"/>
    <w:rsid w:val="00A83F48"/>
    <w:rsid w:val="00A84685"/>
    <w:rsid w:val="00A84784"/>
    <w:rsid w:val="00A84B0D"/>
    <w:rsid w:val="00A86B56"/>
    <w:rsid w:val="00A86BEF"/>
    <w:rsid w:val="00A87949"/>
    <w:rsid w:val="00A9079A"/>
    <w:rsid w:val="00A927BF"/>
    <w:rsid w:val="00A93604"/>
    <w:rsid w:val="00A94FF7"/>
    <w:rsid w:val="00A964E3"/>
    <w:rsid w:val="00A96F55"/>
    <w:rsid w:val="00A974A2"/>
    <w:rsid w:val="00AA0BE2"/>
    <w:rsid w:val="00AA124A"/>
    <w:rsid w:val="00AA26B9"/>
    <w:rsid w:val="00AA298C"/>
    <w:rsid w:val="00AA2BAF"/>
    <w:rsid w:val="00AA2E8D"/>
    <w:rsid w:val="00AA512C"/>
    <w:rsid w:val="00AA76E6"/>
    <w:rsid w:val="00AA7F3F"/>
    <w:rsid w:val="00AB21E3"/>
    <w:rsid w:val="00AB2BE2"/>
    <w:rsid w:val="00AB2FCE"/>
    <w:rsid w:val="00AB38AE"/>
    <w:rsid w:val="00AB3C0D"/>
    <w:rsid w:val="00AB4803"/>
    <w:rsid w:val="00AB4B5F"/>
    <w:rsid w:val="00AB4D29"/>
    <w:rsid w:val="00AB4EA3"/>
    <w:rsid w:val="00AB5947"/>
    <w:rsid w:val="00AB5AEE"/>
    <w:rsid w:val="00AB6FFC"/>
    <w:rsid w:val="00AB79DF"/>
    <w:rsid w:val="00AC0D58"/>
    <w:rsid w:val="00AC1418"/>
    <w:rsid w:val="00AC1724"/>
    <w:rsid w:val="00AC1B09"/>
    <w:rsid w:val="00AC3837"/>
    <w:rsid w:val="00AC4D82"/>
    <w:rsid w:val="00AC5446"/>
    <w:rsid w:val="00AC5467"/>
    <w:rsid w:val="00AD008E"/>
    <w:rsid w:val="00AD0767"/>
    <w:rsid w:val="00AD0EE0"/>
    <w:rsid w:val="00AD1035"/>
    <w:rsid w:val="00AD1690"/>
    <w:rsid w:val="00AD1EEA"/>
    <w:rsid w:val="00AD2410"/>
    <w:rsid w:val="00AD4139"/>
    <w:rsid w:val="00AD5873"/>
    <w:rsid w:val="00AD5FD9"/>
    <w:rsid w:val="00AD610D"/>
    <w:rsid w:val="00AD6267"/>
    <w:rsid w:val="00AD6B90"/>
    <w:rsid w:val="00AD7933"/>
    <w:rsid w:val="00AD7B7D"/>
    <w:rsid w:val="00AE14C4"/>
    <w:rsid w:val="00AE1FE0"/>
    <w:rsid w:val="00AE267F"/>
    <w:rsid w:val="00AE3EAB"/>
    <w:rsid w:val="00AE4B86"/>
    <w:rsid w:val="00AE689E"/>
    <w:rsid w:val="00AE7182"/>
    <w:rsid w:val="00AF0F7D"/>
    <w:rsid w:val="00AF19E0"/>
    <w:rsid w:val="00AF311D"/>
    <w:rsid w:val="00AF4007"/>
    <w:rsid w:val="00AF41E2"/>
    <w:rsid w:val="00AF4215"/>
    <w:rsid w:val="00AF47CF"/>
    <w:rsid w:val="00AF50AC"/>
    <w:rsid w:val="00AF6504"/>
    <w:rsid w:val="00AF76DB"/>
    <w:rsid w:val="00AF7797"/>
    <w:rsid w:val="00AF7C7A"/>
    <w:rsid w:val="00AF7ED3"/>
    <w:rsid w:val="00B008B3"/>
    <w:rsid w:val="00B011E6"/>
    <w:rsid w:val="00B012ED"/>
    <w:rsid w:val="00B0167E"/>
    <w:rsid w:val="00B03D26"/>
    <w:rsid w:val="00B059C7"/>
    <w:rsid w:val="00B10477"/>
    <w:rsid w:val="00B10ED1"/>
    <w:rsid w:val="00B11AA5"/>
    <w:rsid w:val="00B11E63"/>
    <w:rsid w:val="00B12246"/>
    <w:rsid w:val="00B132A0"/>
    <w:rsid w:val="00B13A76"/>
    <w:rsid w:val="00B13F34"/>
    <w:rsid w:val="00B1452E"/>
    <w:rsid w:val="00B1454C"/>
    <w:rsid w:val="00B14DEF"/>
    <w:rsid w:val="00B151AD"/>
    <w:rsid w:val="00B151E9"/>
    <w:rsid w:val="00B1562A"/>
    <w:rsid w:val="00B159C0"/>
    <w:rsid w:val="00B160F2"/>
    <w:rsid w:val="00B1666B"/>
    <w:rsid w:val="00B179C7"/>
    <w:rsid w:val="00B17F00"/>
    <w:rsid w:val="00B2041A"/>
    <w:rsid w:val="00B211DB"/>
    <w:rsid w:val="00B2163A"/>
    <w:rsid w:val="00B220B7"/>
    <w:rsid w:val="00B222A3"/>
    <w:rsid w:val="00B22691"/>
    <w:rsid w:val="00B22915"/>
    <w:rsid w:val="00B2291D"/>
    <w:rsid w:val="00B233F5"/>
    <w:rsid w:val="00B2379E"/>
    <w:rsid w:val="00B23E65"/>
    <w:rsid w:val="00B245F3"/>
    <w:rsid w:val="00B2461A"/>
    <w:rsid w:val="00B24738"/>
    <w:rsid w:val="00B26D92"/>
    <w:rsid w:val="00B274B2"/>
    <w:rsid w:val="00B278A3"/>
    <w:rsid w:val="00B27BEF"/>
    <w:rsid w:val="00B316FC"/>
    <w:rsid w:val="00B32188"/>
    <w:rsid w:val="00B3264C"/>
    <w:rsid w:val="00B33081"/>
    <w:rsid w:val="00B33E82"/>
    <w:rsid w:val="00B34C62"/>
    <w:rsid w:val="00B35DE0"/>
    <w:rsid w:val="00B35F9E"/>
    <w:rsid w:val="00B36975"/>
    <w:rsid w:val="00B37D2C"/>
    <w:rsid w:val="00B40978"/>
    <w:rsid w:val="00B4215E"/>
    <w:rsid w:val="00B437EE"/>
    <w:rsid w:val="00B44159"/>
    <w:rsid w:val="00B4508A"/>
    <w:rsid w:val="00B46362"/>
    <w:rsid w:val="00B46F66"/>
    <w:rsid w:val="00B473A0"/>
    <w:rsid w:val="00B5043A"/>
    <w:rsid w:val="00B51CC0"/>
    <w:rsid w:val="00B51FBB"/>
    <w:rsid w:val="00B5234E"/>
    <w:rsid w:val="00B5363A"/>
    <w:rsid w:val="00B54992"/>
    <w:rsid w:val="00B549B2"/>
    <w:rsid w:val="00B55833"/>
    <w:rsid w:val="00B5597A"/>
    <w:rsid w:val="00B56013"/>
    <w:rsid w:val="00B57506"/>
    <w:rsid w:val="00B57F4F"/>
    <w:rsid w:val="00B62879"/>
    <w:rsid w:val="00B62E1C"/>
    <w:rsid w:val="00B63289"/>
    <w:rsid w:val="00B63E84"/>
    <w:rsid w:val="00B65376"/>
    <w:rsid w:val="00B655BC"/>
    <w:rsid w:val="00B656AE"/>
    <w:rsid w:val="00B660F5"/>
    <w:rsid w:val="00B66452"/>
    <w:rsid w:val="00B66991"/>
    <w:rsid w:val="00B66B5F"/>
    <w:rsid w:val="00B66B93"/>
    <w:rsid w:val="00B6705C"/>
    <w:rsid w:val="00B67934"/>
    <w:rsid w:val="00B67A06"/>
    <w:rsid w:val="00B67E1C"/>
    <w:rsid w:val="00B702E6"/>
    <w:rsid w:val="00B71664"/>
    <w:rsid w:val="00B719F9"/>
    <w:rsid w:val="00B71BCD"/>
    <w:rsid w:val="00B725DF"/>
    <w:rsid w:val="00B7309A"/>
    <w:rsid w:val="00B73470"/>
    <w:rsid w:val="00B74450"/>
    <w:rsid w:val="00B755BA"/>
    <w:rsid w:val="00B75642"/>
    <w:rsid w:val="00B75B5F"/>
    <w:rsid w:val="00B76A74"/>
    <w:rsid w:val="00B77A38"/>
    <w:rsid w:val="00B80276"/>
    <w:rsid w:val="00B80B73"/>
    <w:rsid w:val="00B80FF7"/>
    <w:rsid w:val="00B826BC"/>
    <w:rsid w:val="00B82DD5"/>
    <w:rsid w:val="00B83497"/>
    <w:rsid w:val="00B836B8"/>
    <w:rsid w:val="00B84952"/>
    <w:rsid w:val="00B851A1"/>
    <w:rsid w:val="00B85FD5"/>
    <w:rsid w:val="00B86439"/>
    <w:rsid w:val="00B86614"/>
    <w:rsid w:val="00B867A4"/>
    <w:rsid w:val="00B877F0"/>
    <w:rsid w:val="00B9132F"/>
    <w:rsid w:val="00B92A8B"/>
    <w:rsid w:val="00B939D4"/>
    <w:rsid w:val="00B93D63"/>
    <w:rsid w:val="00B94CC3"/>
    <w:rsid w:val="00B953D3"/>
    <w:rsid w:val="00B958B8"/>
    <w:rsid w:val="00B971E3"/>
    <w:rsid w:val="00B97424"/>
    <w:rsid w:val="00B974B2"/>
    <w:rsid w:val="00BA0358"/>
    <w:rsid w:val="00BA059F"/>
    <w:rsid w:val="00BA09A7"/>
    <w:rsid w:val="00BA0A81"/>
    <w:rsid w:val="00BA0DFE"/>
    <w:rsid w:val="00BA208E"/>
    <w:rsid w:val="00BA3FE3"/>
    <w:rsid w:val="00BA4BD8"/>
    <w:rsid w:val="00BA4C85"/>
    <w:rsid w:val="00BA5631"/>
    <w:rsid w:val="00BA78EB"/>
    <w:rsid w:val="00BA7E70"/>
    <w:rsid w:val="00BA7E80"/>
    <w:rsid w:val="00BB10D1"/>
    <w:rsid w:val="00BB1EE5"/>
    <w:rsid w:val="00BB1F83"/>
    <w:rsid w:val="00BB20FE"/>
    <w:rsid w:val="00BB2286"/>
    <w:rsid w:val="00BB2841"/>
    <w:rsid w:val="00BB4294"/>
    <w:rsid w:val="00BB42DD"/>
    <w:rsid w:val="00BB43DC"/>
    <w:rsid w:val="00BB5B86"/>
    <w:rsid w:val="00BB620D"/>
    <w:rsid w:val="00BB64C8"/>
    <w:rsid w:val="00BB6BC7"/>
    <w:rsid w:val="00BC03B2"/>
    <w:rsid w:val="00BC0588"/>
    <w:rsid w:val="00BC0AF1"/>
    <w:rsid w:val="00BC1182"/>
    <w:rsid w:val="00BC16BE"/>
    <w:rsid w:val="00BC22BA"/>
    <w:rsid w:val="00BC2C93"/>
    <w:rsid w:val="00BC60BD"/>
    <w:rsid w:val="00BC726B"/>
    <w:rsid w:val="00BC7CC0"/>
    <w:rsid w:val="00BC7EBD"/>
    <w:rsid w:val="00BD0C61"/>
    <w:rsid w:val="00BD1921"/>
    <w:rsid w:val="00BD1CEA"/>
    <w:rsid w:val="00BD26C3"/>
    <w:rsid w:val="00BD505D"/>
    <w:rsid w:val="00BD61EA"/>
    <w:rsid w:val="00BD653A"/>
    <w:rsid w:val="00BD6754"/>
    <w:rsid w:val="00BE003E"/>
    <w:rsid w:val="00BE03F4"/>
    <w:rsid w:val="00BE0AF0"/>
    <w:rsid w:val="00BE1C3C"/>
    <w:rsid w:val="00BE1D44"/>
    <w:rsid w:val="00BE2FBB"/>
    <w:rsid w:val="00BE3663"/>
    <w:rsid w:val="00BE419F"/>
    <w:rsid w:val="00BE4D19"/>
    <w:rsid w:val="00BE54FF"/>
    <w:rsid w:val="00BE56F4"/>
    <w:rsid w:val="00BE6207"/>
    <w:rsid w:val="00BE715C"/>
    <w:rsid w:val="00BE732C"/>
    <w:rsid w:val="00BE7DCF"/>
    <w:rsid w:val="00BF0380"/>
    <w:rsid w:val="00BF09BC"/>
    <w:rsid w:val="00BF30FA"/>
    <w:rsid w:val="00BF35AF"/>
    <w:rsid w:val="00BF40CE"/>
    <w:rsid w:val="00BF470C"/>
    <w:rsid w:val="00BF48F8"/>
    <w:rsid w:val="00BF5D1C"/>
    <w:rsid w:val="00BF5F04"/>
    <w:rsid w:val="00C01F66"/>
    <w:rsid w:val="00C02815"/>
    <w:rsid w:val="00C0296F"/>
    <w:rsid w:val="00C03ED2"/>
    <w:rsid w:val="00C04A55"/>
    <w:rsid w:val="00C04B1D"/>
    <w:rsid w:val="00C04F5E"/>
    <w:rsid w:val="00C05C4D"/>
    <w:rsid w:val="00C065A2"/>
    <w:rsid w:val="00C066C5"/>
    <w:rsid w:val="00C125B1"/>
    <w:rsid w:val="00C12922"/>
    <w:rsid w:val="00C12DF1"/>
    <w:rsid w:val="00C13E6F"/>
    <w:rsid w:val="00C144F4"/>
    <w:rsid w:val="00C14B15"/>
    <w:rsid w:val="00C15138"/>
    <w:rsid w:val="00C15B04"/>
    <w:rsid w:val="00C16B07"/>
    <w:rsid w:val="00C17B04"/>
    <w:rsid w:val="00C21F8E"/>
    <w:rsid w:val="00C220DB"/>
    <w:rsid w:val="00C22B38"/>
    <w:rsid w:val="00C22FD6"/>
    <w:rsid w:val="00C232EE"/>
    <w:rsid w:val="00C23F4A"/>
    <w:rsid w:val="00C2604C"/>
    <w:rsid w:val="00C26CB1"/>
    <w:rsid w:val="00C26D63"/>
    <w:rsid w:val="00C2733A"/>
    <w:rsid w:val="00C27C03"/>
    <w:rsid w:val="00C30663"/>
    <w:rsid w:val="00C3268E"/>
    <w:rsid w:val="00C32FCE"/>
    <w:rsid w:val="00C3364D"/>
    <w:rsid w:val="00C33A5F"/>
    <w:rsid w:val="00C33E10"/>
    <w:rsid w:val="00C33F42"/>
    <w:rsid w:val="00C34734"/>
    <w:rsid w:val="00C34BEF"/>
    <w:rsid w:val="00C36118"/>
    <w:rsid w:val="00C36DE8"/>
    <w:rsid w:val="00C402FB"/>
    <w:rsid w:val="00C40C6B"/>
    <w:rsid w:val="00C412A5"/>
    <w:rsid w:val="00C416A4"/>
    <w:rsid w:val="00C41F01"/>
    <w:rsid w:val="00C427AA"/>
    <w:rsid w:val="00C42A1C"/>
    <w:rsid w:val="00C4346B"/>
    <w:rsid w:val="00C45041"/>
    <w:rsid w:val="00C45669"/>
    <w:rsid w:val="00C45A10"/>
    <w:rsid w:val="00C4641D"/>
    <w:rsid w:val="00C46615"/>
    <w:rsid w:val="00C468E2"/>
    <w:rsid w:val="00C46C5D"/>
    <w:rsid w:val="00C46D4F"/>
    <w:rsid w:val="00C47A41"/>
    <w:rsid w:val="00C50E7A"/>
    <w:rsid w:val="00C51293"/>
    <w:rsid w:val="00C5151E"/>
    <w:rsid w:val="00C52045"/>
    <w:rsid w:val="00C52628"/>
    <w:rsid w:val="00C52A70"/>
    <w:rsid w:val="00C5322C"/>
    <w:rsid w:val="00C5346E"/>
    <w:rsid w:val="00C5429E"/>
    <w:rsid w:val="00C546F1"/>
    <w:rsid w:val="00C573B8"/>
    <w:rsid w:val="00C57EF4"/>
    <w:rsid w:val="00C61ECF"/>
    <w:rsid w:val="00C62B59"/>
    <w:rsid w:val="00C63350"/>
    <w:rsid w:val="00C64624"/>
    <w:rsid w:val="00C6462B"/>
    <w:rsid w:val="00C6486C"/>
    <w:rsid w:val="00C65315"/>
    <w:rsid w:val="00C653B2"/>
    <w:rsid w:val="00C65BCA"/>
    <w:rsid w:val="00C67478"/>
    <w:rsid w:val="00C67651"/>
    <w:rsid w:val="00C6780B"/>
    <w:rsid w:val="00C67F9E"/>
    <w:rsid w:val="00C70059"/>
    <w:rsid w:val="00C715CD"/>
    <w:rsid w:val="00C71911"/>
    <w:rsid w:val="00C71D51"/>
    <w:rsid w:val="00C750D7"/>
    <w:rsid w:val="00C763CC"/>
    <w:rsid w:val="00C768FD"/>
    <w:rsid w:val="00C80326"/>
    <w:rsid w:val="00C8134E"/>
    <w:rsid w:val="00C816B9"/>
    <w:rsid w:val="00C81943"/>
    <w:rsid w:val="00C81B98"/>
    <w:rsid w:val="00C81E46"/>
    <w:rsid w:val="00C82DAB"/>
    <w:rsid w:val="00C83AE6"/>
    <w:rsid w:val="00C83EC1"/>
    <w:rsid w:val="00C85747"/>
    <w:rsid w:val="00C86D3A"/>
    <w:rsid w:val="00C86DD5"/>
    <w:rsid w:val="00C873E7"/>
    <w:rsid w:val="00C873F9"/>
    <w:rsid w:val="00C87743"/>
    <w:rsid w:val="00C91555"/>
    <w:rsid w:val="00C918AA"/>
    <w:rsid w:val="00C930C2"/>
    <w:rsid w:val="00C9344B"/>
    <w:rsid w:val="00C95406"/>
    <w:rsid w:val="00C9564D"/>
    <w:rsid w:val="00C962F0"/>
    <w:rsid w:val="00C9657C"/>
    <w:rsid w:val="00C979EC"/>
    <w:rsid w:val="00CA0123"/>
    <w:rsid w:val="00CA06DB"/>
    <w:rsid w:val="00CA132A"/>
    <w:rsid w:val="00CA1810"/>
    <w:rsid w:val="00CA214E"/>
    <w:rsid w:val="00CA30B2"/>
    <w:rsid w:val="00CA3573"/>
    <w:rsid w:val="00CA3632"/>
    <w:rsid w:val="00CA4D9F"/>
    <w:rsid w:val="00CA50FD"/>
    <w:rsid w:val="00CA63C1"/>
    <w:rsid w:val="00CA68A5"/>
    <w:rsid w:val="00CA6B81"/>
    <w:rsid w:val="00CA6C34"/>
    <w:rsid w:val="00CA7303"/>
    <w:rsid w:val="00CA7454"/>
    <w:rsid w:val="00CB0294"/>
    <w:rsid w:val="00CB134D"/>
    <w:rsid w:val="00CB2182"/>
    <w:rsid w:val="00CB2BFA"/>
    <w:rsid w:val="00CB2FD8"/>
    <w:rsid w:val="00CB3B59"/>
    <w:rsid w:val="00CB4A1B"/>
    <w:rsid w:val="00CB5743"/>
    <w:rsid w:val="00CB57AF"/>
    <w:rsid w:val="00CB5FE6"/>
    <w:rsid w:val="00CB611E"/>
    <w:rsid w:val="00CB64D8"/>
    <w:rsid w:val="00CB7176"/>
    <w:rsid w:val="00CC1C5B"/>
    <w:rsid w:val="00CC290C"/>
    <w:rsid w:val="00CC2A47"/>
    <w:rsid w:val="00CC2F3B"/>
    <w:rsid w:val="00CC3C93"/>
    <w:rsid w:val="00CC448D"/>
    <w:rsid w:val="00CC4EF4"/>
    <w:rsid w:val="00CC60EB"/>
    <w:rsid w:val="00CC7210"/>
    <w:rsid w:val="00CC73A1"/>
    <w:rsid w:val="00CC7848"/>
    <w:rsid w:val="00CC79E3"/>
    <w:rsid w:val="00CD02B7"/>
    <w:rsid w:val="00CD0A45"/>
    <w:rsid w:val="00CD1EC9"/>
    <w:rsid w:val="00CD2C28"/>
    <w:rsid w:val="00CD3312"/>
    <w:rsid w:val="00CD41F8"/>
    <w:rsid w:val="00CD4277"/>
    <w:rsid w:val="00CD4A7A"/>
    <w:rsid w:val="00CD7FDB"/>
    <w:rsid w:val="00CE102E"/>
    <w:rsid w:val="00CE1316"/>
    <w:rsid w:val="00CE1B32"/>
    <w:rsid w:val="00CE1C9F"/>
    <w:rsid w:val="00CE2259"/>
    <w:rsid w:val="00CE323B"/>
    <w:rsid w:val="00CE4624"/>
    <w:rsid w:val="00CE56D0"/>
    <w:rsid w:val="00CE637C"/>
    <w:rsid w:val="00CE7EA3"/>
    <w:rsid w:val="00CF0DCD"/>
    <w:rsid w:val="00CF1C58"/>
    <w:rsid w:val="00CF232B"/>
    <w:rsid w:val="00CF2478"/>
    <w:rsid w:val="00CF2554"/>
    <w:rsid w:val="00CF2C85"/>
    <w:rsid w:val="00CF31A7"/>
    <w:rsid w:val="00CF4941"/>
    <w:rsid w:val="00CF4D1C"/>
    <w:rsid w:val="00CF55E5"/>
    <w:rsid w:val="00CF73CB"/>
    <w:rsid w:val="00D01FF6"/>
    <w:rsid w:val="00D02912"/>
    <w:rsid w:val="00D03059"/>
    <w:rsid w:val="00D03BFF"/>
    <w:rsid w:val="00D03E8C"/>
    <w:rsid w:val="00D04EDB"/>
    <w:rsid w:val="00D051B3"/>
    <w:rsid w:val="00D06182"/>
    <w:rsid w:val="00D070B4"/>
    <w:rsid w:val="00D10698"/>
    <w:rsid w:val="00D1085E"/>
    <w:rsid w:val="00D10A7B"/>
    <w:rsid w:val="00D10C6F"/>
    <w:rsid w:val="00D10DDD"/>
    <w:rsid w:val="00D11453"/>
    <w:rsid w:val="00D12937"/>
    <w:rsid w:val="00D12A07"/>
    <w:rsid w:val="00D13853"/>
    <w:rsid w:val="00D14144"/>
    <w:rsid w:val="00D1444E"/>
    <w:rsid w:val="00D15508"/>
    <w:rsid w:val="00D20361"/>
    <w:rsid w:val="00D20AC0"/>
    <w:rsid w:val="00D20D13"/>
    <w:rsid w:val="00D22481"/>
    <w:rsid w:val="00D22817"/>
    <w:rsid w:val="00D22C2B"/>
    <w:rsid w:val="00D23DFA"/>
    <w:rsid w:val="00D25246"/>
    <w:rsid w:val="00D255B3"/>
    <w:rsid w:val="00D25846"/>
    <w:rsid w:val="00D25E2D"/>
    <w:rsid w:val="00D25EDB"/>
    <w:rsid w:val="00D26AAA"/>
    <w:rsid w:val="00D26B07"/>
    <w:rsid w:val="00D27444"/>
    <w:rsid w:val="00D27E0E"/>
    <w:rsid w:val="00D300E6"/>
    <w:rsid w:val="00D321C9"/>
    <w:rsid w:val="00D32AD9"/>
    <w:rsid w:val="00D32C00"/>
    <w:rsid w:val="00D33068"/>
    <w:rsid w:val="00D33D40"/>
    <w:rsid w:val="00D341F1"/>
    <w:rsid w:val="00D35A11"/>
    <w:rsid w:val="00D36FD5"/>
    <w:rsid w:val="00D37EAA"/>
    <w:rsid w:val="00D42037"/>
    <w:rsid w:val="00D430FE"/>
    <w:rsid w:val="00D4368A"/>
    <w:rsid w:val="00D44675"/>
    <w:rsid w:val="00D4592C"/>
    <w:rsid w:val="00D45F59"/>
    <w:rsid w:val="00D461FA"/>
    <w:rsid w:val="00D464B4"/>
    <w:rsid w:val="00D47D23"/>
    <w:rsid w:val="00D504DE"/>
    <w:rsid w:val="00D51526"/>
    <w:rsid w:val="00D51F44"/>
    <w:rsid w:val="00D52196"/>
    <w:rsid w:val="00D53C15"/>
    <w:rsid w:val="00D54EB0"/>
    <w:rsid w:val="00D55595"/>
    <w:rsid w:val="00D55617"/>
    <w:rsid w:val="00D55637"/>
    <w:rsid w:val="00D5588B"/>
    <w:rsid w:val="00D56406"/>
    <w:rsid w:val="00D56F61"/>
    <w:rsid w:val="00D57C7E"/>
    <w:rsid w:val="00D60329"/>
    <w:rsid w:val="00D6121B"/>
    <w:rsid w:val="00D614C1"/>
    <w:rsid w:val="00D61592"/>
    <w:rsid w:val="00D61FE4"/>
    <w:rsid w:val="00D6271D"/>
    <w:rsid w:val="00D637CC"/>
    <w:rsid w:val="00D6455A"/>
    <w:rsid w:val="00D646FE"/>
    <w:rsid w:val="00D65C44"/>
    <w:rsid w:val="00D70E28"/>
    <w:rsid w:val="00D71F72"/>
    <w:rsid w:val="00D725EC"/>
    <w:rsid w:val="00D72786"/>
    <w:rsid w:val="00D7286A"/>
    <w:rsid w:val="00D73169"/>
    <w:rsid w:val="00D73669"/>
    <w:rsid w:val="00D73FF0"/>
    <w:rsid w:val="00D74EAD"/>
    <w:rsid w:val="00D75774"/>
    <w:rsid w:val="00D75E78"/>
    <w:rsid w:val="00D7724F"/>
    <w:rsid w:val="00D80201"/>
    <w:rsid w:val="00D808F6"/>
    <w:rsid w:val="00D8123E"/>
    <w:rsid w:val="00D81B0C"/>
    <w:rsid w:val="00D82ABD"/>
    <w:rsid w:val="00D82D6F"/>
    <w:rsid w:val="00D8464F"/>
    <w:rsid w:val="00D84B42"/>
    <w:rsid w:val="00D86248"/>
    <w:rsid w:val="00D917EA"/>
    <w:rsid w:val="00D91E50"/>
    <w:rsid w:val="00D91FA4"/>
    <w:rsid w:val="00D92312"/>
    <w:rsid w:val="00D94382"/>
    <w:rsid w:val="00D944B0"/>
    <w:rsid w:val="00D94819"/>
    <w:rsid w:val="00D94AEE"/>
    <w:rsid w:val="00D96CC5"/>
    <w:rsid w:val="00D974B9"/>
    <w:rsid w:val="00D97CF9"/>
    <w:rsid w:val="00DA0DE1"/>
    <w:rsid w:val="00DA1841"/>
    <w:rsid w:val="00DA251A"/>
    <w:rsid w:val="00DA3294"/>
    <w:rsid w:val="00DA340E"/>
    <w:rsid w:val="00DA36E0"/>
    <w:rsid w:val="00DA4C2D"/>
    <w:rsid w:val="00DA4DD5"/>
    <w:rsid w:val="00DA556B"/>
    <w:rsid w:val="00DA68D0"/>
    <w:rsid w:val="00DA6A66"/>
    <w:rsid w:val="00DA74CE"/>
    <w:rsid w:val="00DA78C8"/>
    <w:rsid w:val="00DB01E7"/>
    <w:rsid w:val="00DB0A24"/>
    <w:rsid w:val="00DB2A75"/>
    <w:rsid w:val="00DB2F5C"/>
    <w:rsid w:val="00DB3605"/>
    <w:rsid w:val="00DB400D"/>
    <w:rsid w:val="00DB4F83"/>
    <w:rsid w:val="00DB5189"/>
    <w:rsid w:val="00DB5E8F"/>
    <w:rsid w:val="00DB628A"/>
    <w:rsid w:val="00DB62D7"/>
    <w:rsid w:val="00DB639B"/>
    <w:rsid w:val="00DB65E7"/>
    <w:rsid w:val="00DB6D81"/>
    <w:rsid w:val="00DB7130"/>
    <w:rsid w:val="00DC0FC3"/>
    <w:rsid w:val="00DC172C"/>
    <w:rsid w:val="00DC19F5"/>
    <w:rsid w:val="00DC1A05"/>
    <w:rsid w:val="00DC2019"/>
    <w:rsid w:val="00DC2117"/>
    <w:rsid w:val="00DC249F"/>
    <w:rsid w:val="00DC35FC"/>
    <w:rsid w:val="00DC39C9"/>
    <w:rsid w:val="00DC3D8C"/>
    <w:rsid w:val="00DC5E08"/>
    <w:rsid w:val="00DC68ED"/>
    <w:rsid w:val="00DC6C31"/>
    <w:rsid w:val="00DC7E34"/>
    <w:rsid w:val="00DD030F"/>
    <w:rsid w:val="00DD0588"/>
    <w:rsid w:val="00DD3727"/>
    <w:rsid w:val="00DD3861"/>
    <w:rsid w:val="00DD4A37"/>
    <w:rsid w:val="00DD52CD"/>
    <w:rsid w:val="00DD5F01"/>
    <w:rsid w:val="00DD707D"/>
    <w:rsid w:val="00DE0629"/>
    <w:rsid w:val="00DE0E86"/>
    <w:rsid w:val="00DE11BB"/>
    <w:rsid w:val="00DE1B92"/>
    <w:rsid w:val="00DE1E2C"/>
    <w:rsid w:val="00DE23E7"/>
    <w:rsid w:val="00DE2AEB"/>
    <w:rsid w:val="00DE2E5F"/>
    <w:rsid w:val="00DE38E3"/>
    <w:rsid w:val="00DE4240"/>
    <w:rsid w:val="00DE441E"/>
    <w:rsid w:val="00DE6658"/>
    <w:rsid w:val="00DE6F7D"/>
    <w:rsid w:val="00DE7013"/>
    <w:rsid w:val="00DF1E95"/>
    <w:rsid w:val="00DF3E43"/>
    <w:rsid w:val="00DF3E74"/>
    <w:rsid w:val="00DF4B45"/>
    <w:rsid w:val="00DF5141"/>
    <w:rsid w:val="00DF51EE"/>
    <w:rsid w:val="00DF6659"/>
    <w:rsid w:val="00DF6AEF"/>
    <w:rsid w:val="00DF6B79"/>
    <w:rsid w:val="00DF7A9C"/>
    <w:rsid w:val="00DF7CE0"/>
    <w:rsid w:val="00DF7CF8"/>
    <w:rsid w:val="00DF7F8A"/>
    <w:rsid w:val="00E00328"/>
    <w:rsid w:val="00E00C6D"/>
    <w:rsid w:val="00E01B69"/>
    <w:rsid w:val="00E02469"/>
    <w:rsid w:val="00E025A0"/>
    <w:rsid w:val="00E02E55"/>
    <w:rsid w:val="00E03128"/>
    <w:rsid w:val="00E03EEC"/>
    <w:rsid w:val="00E0611E"/>
    <w:rsid w:val="00E065D3"/>
    <w:rsid w:val="00E067EB"/>
    <w:rsid w:val="00E06A3D"/>
    <w:rsid w:val="00E100AC"/>
    <w:rsid w:val="00E10749"/>
    <w:rsid w:val="00E10BB1"/>
    <w:rsid w:val="00E132FF"/>
    <w:rsid w:val="00E1482F"/>
    <w:rsid w:val="00E15254"/>
    <w:rsid w:val="00E1540B"/>
    <w:rsid w:val="00E1553A"/>
    <w:rsid w:val="00E158F7"/>
    <w:rsid w:val="00E15E75"/>
    <w:rsid w:val="00E16507"/>
    <w:rsid w:val="00E2241E"/>
    <w:rsid w:val="00E224AE"/>
    <w:rsid w:val="00E24807"/>
    <w:rsid w:val="00E24C40"/>
    <w:rsid w:val="00E25A6E"/>
    <w:rsid w:val="00E310AC"/>
    <w:rsid w:val="00E317F9"/>
    <w:rsid w:val="00E31884"/>
    <w:rsid w:val="00E3188C"/>
    <w:rsid w:val="00E325A6"/>
    <w:rsid w:val="00E32738"/>
    <w:rsid w:val="00E338C8"/>
    <w:rsid w:val="00E33DE8"/>
    <w:rsid w:val="00E348E3"/>
    <w:rsid w:val="00E35643"/>
    <w:rsid w:val="00E357DB"/>
    <w:rsid w:val="00E35FD3"/>
    <w:rsid w:val="00E367A8"/>
    <w:rsid w:val="00E370CD"/>
    <w:rsid w:val="00E37FC3"/>
    <w:rsid w:val="00E40539"/>
    <w:rsid w:val="00E418FD"/>
    <w:rsid w:val="00E41D15"/>
    <w:rsid w:val="00E4428C"/>
    <w:rsid w:val="00E44972"/>
    <w:rsid w:val="00E46B76"/>
    <w:rsid w:val="00E471C9"/>
    <w:rsid w:val="00E47B7B"/>
    <w:rsid w:val="00E501C4"/>
    <w:rsid w:val="00E5058D"/>
    <w:rsid w:val="00E515B0"/>
    <w:rsid w:val="00E54FD2"/>
    <w:rsid w:val="00E55A68"/>
    <w:rsid w:val="00E60564"/>
    <w:rsid w:val="00E60AA4"/>
    <w:rsid w:val="00E60BBE"/>
    <w:rsid w:val="00E6265F"/>
    <w:rsid w:val="00E629CC"/>
    <w:rsid w:val="00E62CCC"/>
    <w:rsid w:val="00E64972"/>
    <w:rsid w:val="00E65031"/>
    <w:rsid w:val="00E668A4"/>
    <w:rsid w:val="00E66BDE"/>
    <w:rsid w:val="00E66CF3"/>
    <w:rsid w:val="00E67345"/>
    <w:rsid w:val="00E677B6"/>
    <w:rsid w:val="00E7098E"/>
    <w:rsid w:val="00E709DA"/>
    <w:rsid w:val="00E71928"/>
    <w:rsid w:val="00E735EB"/>
    <w:rsid w:val="00E73A9C"/>
    <w:rsid w:val="00E74440"/>
    <w:rsid w:val="00E74E48"/>
    <w:rsid w:val="00E7630D"/>
    <w:rsid w:val="00E7662F"/>
    <w:rsid w:val="00E772B1"/>
    <w:rsid w:val="00E8199C"/>
    <w:rsid w:val="00E81BFE"/>
    <w:rsid w:val="00E81C35"/>
    <w:rsid w:val="00E831BD"/>
    <w:rsid w:val="00E84C5D"/>
    <w:rsid w:val="00E85060"/>
    <w:rsid w:val="00E86AA2"/>
    <w:rsid w:val="00E90184"/>
    <w:rsid w:val="00E9040F"/>
    <w:rsid w:val="00E92B95"/>
    <w:rsid w:val="00E93785"/>
    <w:rsid w:val="00E946CE"/>
    <w:rsid w:val="00E9481A"/>
    <w:rsid w:val="00E96C31"/>
    <w:rsid w:val="00E96D65"/>
    <w:rsid w:val="00E97618"/>
    <w:rsid w:val="00E97877"/>
    <w:rsid w:val="00E97AAD"/>
    <w:rsid w:val="00E97D86"/>
    <w:rsid w:val="00EA0F41"/>
    <w:rsid w:val="00EA177E"/>
    <w:rsid w:val="00EA19AE"/>
    <w:rsid w:val="00EA355A"/>
    <w:rsid w:val="00EA3668"/>
    <w:rsid w:val="00EA3803"/>
    <w:rsid w:val="00EA61A2"/>
    <w:rsid w:val="00EA6A01"/>
    <w:rsid w:val="00EA714F"/>
    <w:rsid w:val="00EA75C1"/>
    <w:rsid w:val="00EB06F9"/>
    <w:rsid w:val="00EB1414"/>
    <w:rsid w:val="00EB1927"/>
    <w:rsid w:val="00EB1980"/>
    <w:rsid w:val="00EB1A4A"/>
    <w:rsid w:val="00EB2451"/>
    <w:rsid w:val="00EB25CD"/>
    <w:rsid w:val="00EB2C92"/>
    <w:rsid w:val="00EB55FF"/>
    <w:rsid w:val="00EB5B7B"/>
    <w:rsid w:val="00EB6C45"/>
    <w:rsid w:val="00EC0859"/>
    <w:rsid w:val="00EC15F3"/>
    <w:rsid w:val="00EC1C17"/>
    <w:rsid w:val="00EC2C5F"/>
    <w:rsid w:val="00EC2DC1"/>
    <w:rsid w:val="00EC4D13"/>
    <w:rsid w:val="00EC5718"/>
    <w:rsid w:val="00EC629B"/>
    <w:rsid w:val="00ED0382"/>
    <w:rsid w:val="00ED042F"/>
    <w:rsid w:val="00ED160D"/>
    <w:rsid w:val="00ED1C19"/>
    <w:rsid w:val="00ED287D"/>
    <w:rsid w:val="00ED2A06"/>
    <w:rsid w:val="00ED2A14"/>
    <w:rsid w:val="00ED331B"/>
    <w:rsid w:val="00ED3F7E"/>
    <w:rsid w:val="00ED4100"/>
    <w:rsid w:val="00ED4A53"/>
    <w:rsid w:val="00ED7B7D"/>
    <w:rsid w:val="00EE135D"/>
    <w:rsid w:val="00EE136B"/>
    <w:rsid w:val="00EE18C2"/>
    <w:rsid w:val="00EE312F"/>
    <w:rsid w:val="00EE3329"/>
    <w:rsid w:val="00EE4137"/>
    <w:rsid w:val="00EE471B"/>
    <w:rsid w:val="00EE4770"/>
    <w:rsid w:val="00EE4E25"/>
    <w:rsid w:val="00EE66AB"/>
    <w:rsid w:val="00EE76C0"/>
    <w:rsid w:val="00EE77B2"/>
    <w:rsid w:val="00EF079E"/>
    <w:rsid w:val="00EF13B7"/>
    <w:rsid w:val="00EF1995"/>
    <w:rsid w:val="00EF1BA2"/>
    <w:rsid w:val="00EF2236"/>
    <w:rsid w:val="00EF28EC"/>
    <w:rsid w:val="00EF2938"/>
    <w:rsid w:val="00EF2BB9"/>
    <w:rsid w:val="00EF31EC"/>
    <w:rsid w:val="00EF3B08"/>
    <w:rsid w:val="00EF3BEC"/>
    <w:rsid w:val="00EF4082"/>
    <w:rsid w:val="00EF459D"/>
    <w:rsid w:val="00EF5023"/>
    <w:rsid w:val="00EF51BF"/>
    <w:rsid w:val="00EF5DF7"/>
    <w:rsid w:val="00EF618A"/>
    <w:rsid w:val="00F007F7"/>
    <w:rsid w:val="00F00BB8"/>
    <w:rsid w:val="00F00F89"/>
    <w:rsid w:val="00F011A4"/>
    <w:rsid w:val="00F035C6"/>
    <w:rsid w:val="00F0378B"/>
    <w:rsid w:val="00F0477A"/>
    <w:rsid w:val="00F048D2"/>
    <w:rsid w:val="00F06D2A"/>
    <w:rsid w:val="00F0730B"/>
    <w:rsid w:val="00F076DA"/>
    <w:rsid w:val="00F078E4"/>
    <w:rsid w:val="00F1085A"/>
    <w:rsid w:val="00F10C5B"/>
    <w:rsid w:val="00F1104F"/>
    <w:rsid w:val="00F11089"/>
    <w:rsid w:val="00F11139"/>
    <w:rsid w:val="00F114C5"/>
    <w:rsid w:val="00F1156D"/>
    <w:rsid w:val="00F11CAF"/>
    <w:rsid w:val="00F12BC2"/>
    <w:rsid w:val="00F14160"/>
    <w:rsid w:val="00F14283"/>
    <w:rsid w:val="00F14980"/>
    <w:rsid w:val="00F14B91"/>
    <w:rsid w:val="00F1673A"/>
    <w:rsid w:val="00F16C76"/>
    <w:rsid w:val="00F16FCF"/>
    <w:rsid w:val="00F17FAD"/>
    <w:rsid w:val="00F201D8"/>
    <w:rsid w:val="00F214B2"/>
    <w:rsid w:val="00F2154F"/>
    <w:rsid w:val="00F21E69"/>
    <w:rsid w:val="00F227C0"/>
    <w:rsid w:val="00F23260"/>
    <w:rsid w:val="00F233E1"/>
    <w:rsid w:val="00F238AD"/>
    <w:rsid w:val="00F23FCE"/>
    <w:rsid w:val="00F2492A"/>
    <w:rsid w:val="00F2493C"/>
    <w:rsid w:val="00F24C22"/>
    <w:rsid w:val="00F25476"/>
    <w:rsid w:val="00F27817"/>
    <w:rsid w:val="00F27CDB"/>
    <w:rsid w:val="00F32252"/>
    <w:rsid w:val="00F3338B"/>
    <w:rsid w:val="00F336E5"/>
    <w:rsid w:val="00F33BB3"/>
    <w:rsid w:val="00F340DA"/>
    <w:rsid w:val="00F37F84"/>
    <w:rsid w:val="00F41A48"/>
    <w:rsid w:val="00F42D4C"/>
    <w:rsid w:val="00F43FCE"/>
    <w:rsid w:val="00F43FE1"/>
    <w:rsid w:val="00F46207"/>
    <w:rsid w:val="00F463A0"/>
    <w:rsid w:val="00F46AB5"/>
    <w:rsid w:val="00F479AC"/>
    <w:rsid w:val="00F51A10"/>
    <w:rsid w:val="00F52287"/>
    <w:rsid w:val="00F52D3B"/>
    <w:rsid w:val="00F52F5F"/>
    <w:rsid w:val="00F53017"/>
    <w:rsid w:val="00F5335D"/>
    <w:rsid w:val="00F53763"/>
    <w:rsid w:val="00F537EA"/>
    <w:rsid w:val="00F5393F"/>
    <w:rsid w:val="00F5400E"/>
    <w:rsid w:val="00F565F5"/>
    <w:rsid w:val="00F56D38"/>
    <w:rsid w:val="00F5708D"/>
    <w:rsid w:val="00F6094F"/>
    <w:rsid w:val="00F61756"/>
    <w:rsid w:val="00F6212E"/>
    <w:rsid w:val="00F62CA1"/>
    <w:rsid w:val="00F6302B"/>
    <w:rsid w:val="00F64E23"/>
    <w:rsid w:val="00F64E4B"/>
    <w:rsid w:val="00F64E79"/>
    <w:rsid w:val="00F64E90"/>
    <w:rsid w:val="00F6509B"/>
    <w:rsid w:val="00F6708B"/>
    <w:rsid w:val="00F70877"/>
    <w:rsid w:val="00F71F0D"/>
    <w:rsid w:val="00F721C1"/>
    <w:rsid w:val="00F72439"/>
    <w:rsid w:val="00F7448F"/>
    <w:rsid w:val="00F76F42"/>
    <w:rsid w:val="00F77E36"/>
    <w:rsid w:val="00F81915"/>
    <w:rsid w:val="00F82921"/>
    <w:rsid w:val="00F83B6F"/>
    <w:rsid w:val="00F86D0E"/>
    <w:rsid w:val="00F9001F"/>
    <w:rsid w:val="00F910E9"/>
    <w:rsid w:val="00F92257"/>
    <w:rsid w:val="00F943D9"/>
    <w:rsid w:val="00F94D1E"/>
    <w:rsid w:val="00F964F1"/>
    <w:rsid w:val="00F96FE0"/>
    <w:rsid w:val="00F9793C"/>
    <w:rsid w:val="00FA1194"/>
    <w:rsid w:val="00FA1BC2"/>
    <w:rsid w:val="00FA210C"/>
    <w:rsid w:val="00FA2F7B"/>
    <w:rsid w:val="00FA3044"/>
    <w:rsid w:val="00FA3A27"/>
    <w:rsid w:val="00FA4049"/>
    <w:rsid w:val="00FA462D"/>
    <w:rsid w:val="00FA4F29"/>
    <w:rsid w:val="00FA59A9"/>
    <w:rsid w:val="00FA5C47"/>
    <w:rsid w:val="00FA5F92"/>
    <w:rsid w:val="00FA637E"/>
    <w:rsid w:val="00FA6A6E"/>
    <w:rsid w:val="00FA71DB"/>
    <w:rsid w:val="00FA7B22"/>
    <w:rsid w:val="00FA7ED2"/>
    <w:rsid w:val="00FB0061"/>
    <w:rsid w:val="00FB023C"/>
    <w:rsid w:val="00FB113C"/>
    <w:rsid w:val="00FB1453"/>
    <w:rsid w:val="00FB19F1"/>
    <w:rsid w:val="00FB2361"/>
    <w:rsid w:val="00FB3006"/>
    <w:rsid w:val="00FB3A38"/>
    <w:rsid w:val="00FB55EF"/>
    <w:rsid w:val="00FB5827"/>
    <w:rsid w:val="00FB6611"/>
    <w:rsid w:val="00FB6FCB"/>
    <w:rsid w:val="00FB7790"/>
    <w:rsid w:val="00FC000C"/>
    <w:rsid w:val="00FC0896"/>
    <w:rsid w:val="00FC1357"/>
    <w:rsid w:val="00FC1C71"/>
    <w:rsid w:val="00FC2911"/>
    <w:rsid w:val="00FC336A"/>
    <w:rsid w:val="00FC5E52"/>
    <w:rsid w:val="00FC66C5"/>
    <w:rsid w:val="00FC6C76"/>
    <w:rsid w:val="00FC7830"/>
    <w:rsid w:val="00FC7CB0"/>
    <w:rsid w:val="00FD02ED"/>
    <w:rsid w:val="00FD08A2"/>
    <w:rsid w:val="00FD20A0"/>
    <w:rsid w:val="00FD2D32"/>
    <w:rsid w:val="00FD3431"/>
    <w:rsid w:val="00FD34E8"/>
    <w:rsid w:val="00FD49BC"/>
    <w:rsid w:val="00FD4F67"/>
    <w:rsid w:val="00FD6156"/>
    <w:rsid w:val="00FD68E6"/>
    <w:rsid w:val="00FE05B8"/>
    <w:rsid w:val="00FE0944"/>
    <w:rsid w:val="00FE0E92"/>
    <w:rsid w:val="00FE2C18"/>
    <w:rsid w:val="00FE36F2"/>
    <w:rsid w:val="00FE385D"/>
    <w:rsid w:val="00FE3A8A"/>
    <w:rsid w:val="00FE46C7"/>
    <w:rsid w:val="00FE4A16"/>
    <w:rsid w:val="00FE5633"/>
    <w:rsid w:val="00FE672B"/>
    <w:rsid w:val="00FE68D8"/>
    <w:rsid w:val="00FE6B1E"/>
    <w:rsid w:val="00FE7181"/>
    <w:rsid w:val="00FE7246"/>
    <w:rsid w:val="00FE77DC"/>
    <w:rsid w:val="00FE7A4D"/>
    <w:rsid w:val="00FF102E"/>
    <w:rsid w:val="00FF136A"/>
    <w:rsid w:val="00FF171D"/>
    <w:rsid w:val="00FF18BC"/>
    <w:rsid w:val="00FF1B66"/>
    <w:rsid w:val="00FF455B"/>
    <w:rsid w:val="00FF4A72"/>
    <w:rsid w:val="00FF50F0"/>
    <w:rsid w:val="00FF542D"/>
    <w:rsid w:val="00FF58A7"/>
    <w:rsid w:val="00FF5E0E"/>
    <w:rsid w:val="00FF6E31"/>
    <w:rsid w:val="00FF7502"/>
    <w:rsid w:val="00FF7759"/>
    <w:rsid w:val="00FF7981"/>
    <w:rsid w:val="480E71A7"/>
    <w:rsid w:val="590F5381"/>
    <w:rsid w:val="7EC64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0"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uiPriority w:val="0"/>
    <w:pPr>
      <w:keepNext/>
      <w:keepLines/>
      <w:jc w:val="center"/>
      <w:outlineLvl w:val="0"/>
    </w:pPr>
    <w:rPr>
      <w:rFonts w:eastAsia="黑体" w:cs="Calibri"/>
      <w:kern w:val="44"/>
      <w:sz w:val="32"/>
      <w:szCs w:val="32"/>
    </w:rPr>
  </w:style>
  <w:style w:type="paragraph" w:styleId="3">
    <w:name w:val="heading 2"/>
    <w:basedOn w:val="1"/>
    <w:next w:val="1"/>
    <w:link w:val="29"/>
    <w:qFormat/>
    <w:uiPriority w:val="0"/>
    <w:pPr>
      <w:keepNext/>
      <w:keepLines/>
      <w:jc w:val="center"/>
      <w:outlineLvl w:val="1"/>
    </w:pPr>
    <w:rPr>
      <w:rFonts w:ascii="Arial" w:hAnsi="Arial" w:eastAsia="楷体_GB2312" w:cs="Arial"/>
      <w:sz w:val="32"/>
      <w:szCs w:val="32"/>
    </w:rPr>
  </w:style>
  <w:style w:type="paragraph" w:styleId="4">
    <w:name w:val="heading 3"/>
    <w:basedOn w:val="1"/>
    <w:next w:val="1"/>
    <w:link w:val="30"/>
    <w:qFormat/>
    <w:uiPriority w:val="0"/>
    <w:pPr>
      <w:keepNext/>
      <w:keepLines/>
      <w:jc w:val="center"/>
      <w:outlineLvl w:val="2"/>
    </w:pPr>
    <w:rPr>
      <w:rFonts w:eastAsia="仿宋_GB2312" w:cs="Calibri"/>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uiPriority w:val="39"/>
    <w:pPr>
      <w:ind w:left="2520" w:leftChars="1200"/>
    </w:pPr>
  </w:style>
  <w:style w:type="paragraph" w:styleId="6">
    <w:name w:val="Document Map"/>
    <w:basedOn w:val="1"/>
    <w:link w:val="38"/>
    <w:semiHidden/>
    <w:uiPriority w:val="0"/>
    <w:pPr>
      <w:shd w:val="clear" w:color="auto" w:fill="000080"/>
    </w:pPr>
    <w:rPr>
      <w:rFonts w:cs="Calibri"/>
      <w:szCs w:val="21"/>
    </w:rPr>
  </w:style>
  <w:style w:type="paragraph" w:styleId="7">
    <w:name w:val="Body Text"/>
    <w:basedOn w:val="1"/>
    <w:link w:val="41"/>
    <w:uiPriority w:val="0"/>
    <w:pPr>
      <w:spacing w:after="120"/>
    </w:pPr>
    <w:rPr>
      <w:rFonts w:cs="Calibri"/>
      <w:szCs w:val="21"/>
    </w:rPr>
  </w:style>
  <w:style w:type="paragraph" w:styleId="8">
    <w:name w:val="toc 5"/>
    <w:basedOn w:val="1"/>
    <w:next w:val="1"/>
    <w:unhideWhenUsed/>
    <w:uiPriority w:val="39"/>
    <w:pPr>
      <w:ind w:left="1680" w:leftChars="800"/>
    </w:pPr>
  </w:style>
  <w:style w:type="paragraph" w:styleId="9">
    <w:name w:val="toc 3"/>
    <w:basedOn w:val="1"/>
    <w:next w:val="1"/>
    <w:qFormat/>
    <w:uiPriority w:val="39"/>
    <w:pPr>
      <w:tabs>
        <w:tab w:val="right" w:leader="dot" w:pos="8296"/>
      </w:tabs>
      <w:ind w:left="840" w:leftChars="400"/>
      <w:jc w:val="center"/>
    </w:pPr>
    <w:rPr>
      <w:rFonts w:cs="Calibri"/>
      <w:szCs w:val="21"/>
    </w:rPr>
  </w:style>
  <w:style w:type="paragraph" w:styleId="10">
    <w:name w:val="toc 8"/>
    <w:basedOn w:val="1"/>
    <w:next w:val="1"/>
    <w:unhideWhenUsed/>
    <w:uiPriority w:val="39"/>
    <w:pPr>
      <w:ind w:left="2940" w:leftChars="1400"/>
    </w:pPr>
  </w:style>
  <w:style w:type="paragraph" w:styleId="11">
    <w:name w:val="Balloon Text"/>
    <w:basedOn w:val="1"/>
    <w:link w:val="53"/>
    <w:uiPriority w:val="0"/>
    <w:rPr>
      <w:rFonts w:cs="Calibri"/>
      <w:sz w:val="18"/>
      <w:szCs w:val="18"/>
    </w:rPr>
  </w:style>
  <w:style w:type="paragraph" w:styleId="12">
    <w:name w:val="footer"/>
    <w:basedOn w:val="1"/>
    <w:link w:val="32"/>
    <w:unhideWhenUsed/>
    <w:uiPriority w:val="99"/>
    <w:pPr>
      <w:tabs>
        <w:tab w:val="center" w:pos="4153"/>
        <w:tab w:val="right" w:pos="8306"/>
      </w:tabs>
      <w:snapToGrid w:val="0"/>
      <w:jc w:val="left"/>
    </w:pPr>
    <w:rPr>
      <w:sz w:val="18"/>
      <w:szCs w:val="18"/>
    </w:rPr>
  </w:style>
  <w:style w:type="paragraph" w:styleId="13">
    <w:name w:val="header"/>
    <w:basedOn w:val="1"/>
    <w:link w:val="31"/>
    <w:semiHidden/>
    <w:unhideWhenUsed/>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8296"/>
      </w:tabs>
      <w:spacing w:line="460" w:lineRule="exact"/>
    </w:pPr>
    <w:rPr>
      <w:rFonts w:ascii="黑体" w:hAnsi="黑体" w:eastAsia="黑体" w:cs="黑体"/>
      <w:sz w:val="28"/>
      <w:szCs w:val="28"/>
    </w:rPr>
  </w:style>
  <w:style w:type="paragraph" w:styleId="15">
    <w:name w:val="toc 4"/>
    <w:basedOn w:val="1"/>
    <w:next w:val="1"/>
    <w:unhideWhenUsed/>
    <w:uiPriority w:val="39"/>
    <w:pPr>
      <w:ind w:left="1260" w:leftChars="600"/>
    </w:pPr>
  </w:style>
  <w:style w:type="paragraph" w:styleId="16">
    <w:name w:val="toc 6"/>
    <w:basedOn w:val="1"/>
    <w:next w:val="1"/>
    <w:unhideWhenUsed/>
    <w:uiPriority w:val="39"/>
    <w:pPr>
      <w:ind w:left="2100" w:leftChars="1000"/>
    </w:pPr>
  </w:style>
  <w:style w:type="paragraph" w:styleId="17">
    <w:name w:val="toc 2"/>
    <w:basedOn w:val="1"/>
    <w:next w:val="1"/>
    <w:qFormat/>
    <w:uiPriority w:val="39"/>
    <w:pPr>
      <w:ind w:left="420" w:leftChars="200"/>
    </w:pPr>
    <w:rPr>
      <w:rFonts w:cs="Calibri"/>
      <w:szCs w:val="21"/>
    </w:rPr>
  </w:style>
  <w:style w:type="paragraph" w:styleId="18">
    <w:name w:val="toc 9"/>
    <w:basedOn w:val="1"/>
    <w:next w:val="1"/>
    <w:unhideWhenUsed/>
    <w:uiPriority w:val="39"/>
    <w:pPr>
      <w:ind w:left="3360" w:leftChars="1600"/>
    </w:pPr>
  </w:style>
  <w:style w:type="paragraph" w:styleId="19">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styleId="20">
    <w:name w:val="Body Text First Indent"/>
    <w:basedOn w:val="7"/>
    <w:link w:val="42"/>
    <w:uiPriority w:val="0"/>
    <w:pPr>
      <w:spacing w:after="0" w:line="360" w:lineRule="auto"/>
      <w:ind w:firstLine="200" w:firstLineChars="200"/>
    </w:pPr>
    <w:rPr>
      <w:rFonts w:ascii="Times New Roman" w:hAnsi="Times New Roman" w:eastAsia="仿宋_GB2312" w:cs="Times New Roman"/>
      <w:sz w:val="32"/>
      <w:szCs w:val="32"/>
    </w:rPr>
  </w:style>
  <w:style w:type="table" w:styleId="22">
    <w:name w:val="Table Grid"/>
    <w:basedOn w:val="2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4">
    <w:name w:val="Strong"/>
    <w:basedOn w:val="23"/>
    <w:qFormat/>
    <w:uiPriority w:val="0"/>
    <w:rPr>
      <w:rFonts w:cs="Times New Roman"/>
      <w:b/>
      <w:bCs/>
    </w:rPr>
  </w:style>
  <w:style w:type="character" w:styleId="25">
    <w:name w:val="page number"/>
    <w:basedOn w:val="23"/>
    <w:qFormat/>
    <w:uiPriority w:val="0"/>
    <w:rPr>
      <w:rFonts w:cs="Times New Roman"/>
    </w:rPr>
  </w:style>
  <w:style w:type="character" w:styleId="26">
    <w:name w:val="Emphasis"/>
    <w:basedOn w:val="23"/>
    <w:qFormat/>
    <w:uiPriority w:val="0"/>
    <w:rPr>
      <w:color w:val="CC0000"/>
    </w:rPr>
  </w:style>
  <w:style w:type="character" w:styleId="27">
    <w:name w:val="Hyperlink"/>
    <w:basedOn w:val="23"/>
    <w:qFormat/>
    <w:uiPriority w:val="99"/>
    <w:rPr>
      <w:color w:val="0000FF"/>
      <w:u w:val="single"/>
    </w:rPr>
  </w:style>
  <w:style w:type="character" w:customStyle="1" w:styleId="28">
    <w:name w:val="标题 1 Char"/>
    <w:basedOn w:val="23"/>
    <w:link w:val="2"/>
    <w:qFormat/>
    <w:uiPriority w:val="0"/>
    <w:rPr>
      <w:rFonts w:ascii="Calibri" w:hAnsi="Calibri" w:eastAsia="黑体" w:cs="Calibri"/>
      <w:kern w:val="44"/>
      <w:sz w:val="32"/>
      <w:szCs w:val="32"/>
    </w:rPr>
  </w:style>
  <w:style w:type="character" w:customStyle="1" w:styleId="29">
    <w:name w:val="标题 2 Char"/>
    <w:basedOn w:val="23"/>
    <w:link w:val="3"/>
    <w:qFormat/>
    <w:uiPriority w:val="0"/>
    <w:rPr>
      <w:rFonts w:ascii="Arial" w:hAnsi="Arial" w:eastAsia="楷体_GB2312" w:cs="Arial"/>
      <w:sz w:val="32"/>
      <w:szCs w:val="32"/>
    </w:rPr>
  </w:style>
  <w:style w:type="character" w:customStyle="1" w:styleId="30">
    <w:name w:val="标题 3 Char"/>
    <w:basedOn w:val="23"/>
    <w:link w:val="4"/>
    <w:qFormat/>
    <w:uiPriority w:val="0"/>
    <w:rPr>
      <w:rFonts w:ascii="Calibri" w:hAnsi="Calibri" w:eastAsia="仿宋_GB2312" w:cs="Calibri"/>
      <w:b/>
      <w:bCs/>
      <w:kern w:val="2"/>
      <w:sz w:val="32"/>
      <w:szCs w:val="32"/>
      <w:lang w:val="en-US" w:eastAsia="zh-CN" w:bidi="ar-SA"/>
    </w:rPr>
  </w:style>
  <w:style w:type="character" w:customStyle="1" w:styleId="31">
    <w:name w:val="页眉 Char"/>
    <w:basedOn w:val="23"/>
    <w:link w:val="13"/>
    <w:semiHidden/>
    <w:qFormat/>
    <w:uiPriority w:val="0"/>
    <w:rPr>
      <w:sz w:val="18"/>
      <w:szCs w:val="18"/>
    </w:rPr>
  </w:style>
  <w:style w:type="character" w:customStyle="1" w:styleId="32">
    <w:name w:val="页脚 Char"/>
    <w:basedOn w:val="23"/>
    <w:link w:val="12"/>
    <w:qFormat/>
    <w:uiPriority w:val="99"/>
    <w:rPr>
      <w:sz w:val="18"/>
      <w:szCs w:val="18"/>
    </w:rPr>
  </w:style>
  <w:style w:type="paragraph" w:customStyle="1" w:styleId="33">
    <w:name w:val="Char Char2 Char Char Char Char Char Char Char Char Char"/>
    <w:basedOn w:val="1"/>
    <w:qFormat/>
    <w:uiPriority w:val="0"/>
    <w:rPr>
      <w:rFonts w:ascii="Times New Roman" w:hAnsi="Times New Roman" w:eastAsia="仿宋_GB2312"/>
      <w:sz w:val="32"/>
      <w:szCs w:val="20"/>
    </w:rPr>
  </w:style>
  <w:style w:type="paragraph" w:customStyle="1" w:styleId="34">
    <w:name w:val="Char Char Char Char"/>
    <w:basedOn w:val="1"/>
    <w:qFormat/>
    <w:uiPriority w:val="0"/>
    <w:pPr>
      <w:widowControl/>
      <w:jc w:val="left"/>
    </w:pPr>
    <w:rPr>
      <w:rFonts w:ascii="Times New Roman" w:hAnsi="Times New Roman"/>
      <w:szCs w:val="21"/>
    </w:rPr>
  </w:style>
  <w:style w:type="paragraph" w:customStyle="1" w:styleId="35">
    <w:name w:val="Char Char Char Char1"/>
    <w:basedOn w:val="1"/>
    <w:qFormat/>
    <w:uiPriority w:val="0"/>
    <w:pPr>
      <w:widowControl/>
      <w:jc w:val="left"/>
    </w:pPr>
    <w:rPr>
      <w:rFonts w:ascii="Times New Roman" w:hAnsi="Times New Roman"/>
      <w:szCs w:val="21"/>
    </w:rPr>
  </w:style>
  <w:style w:type="paragraph" w:customStyle="1" w:styleId="36">
    <w:name w:val="Char Char Char Char2"/>
    <w:basedOn w:val="1"/>
    <w:qFormat/>
    <w:uiPriority w:val="0"/>
    <w:pPr>
      <w:widowControl/>
      <w:jc w:val="left"/>
    </w:pPr>
    <w:rPr>
      <w:rFonts w:ascii="Times New Roman" w:hAnsi="Times New Roman"/>
      <w:szCs w:val="21"/>
    </w:rPr>
  </w:style>
  <w:style w:type="paragraph" w:customStyle="1" w:styleId="37">
    <w:name w:val="Char"/>
    <w:basedOn w:val="1"/>
    <w:qFormat/>
    <w:uiPriority w:val="0"/>
    <w:pPr>
      <w:widowControl/>
      <w:spacing w:after="160" w:line="240" w:lineRule="exact"/>
      <w:jc w:val="left"/>
    </w:pPr>
    <w:rPr>
      <w:rFonts w:ascii="Verdana" w:hAnsi="Verdana" w:cs="Verdana"/>
      <w:kern w:val="0"/>
      <w:sz w:val="20"/>
      <w:szCs w:val="20"/>
      <w:lang w:eastAsia="en-US"/>
    </w:rPr>
  </w:style>
  <w:style w:type="character" w:customStyle="1" w:styleId="38">
    <w:name w:val="文档结构图 Char"/>
    <w:basedOn w:val="23"/>
    <w:link w:val="6"/>
    <w:semiHidden/>
    <w:qFormat/>
    <w:uiPriority w:val="0"/>
    <w:rPr>
      <w:rFonts w:ascii="Calibri" w:hAnsi="Calibri" w:eastAsia="宋体" w:cs="Calibri"/>
      <w:szCs w:val="21"/>
      <w:shd w:val="clear" w:color="auto" w:fill="000080"/>
    </w:rPr>
  </w:style>
  <w:style w:type="paragraph" w:customStyle="1" w:styleId="39">
    <w:name w:val="Char Char Char Char1 Char Char Char Char"/>
    <w:basedOn w:val="1"/>
    <w:qFormat/>
    <w:uiPriority w:val="0"/>
    <w:rPr>
      <w:rFonts w:ascii="Times New Roman" w:hAnsi="Times New Roman"/>
      <w:szCs w:val="21"/>
    </w:rPr>
  </w:style>
  <w:style w:type="paragraph" w:customStyle="1" w:styleId="40">
    <w:name w:val="Char Char Char1 Char"/>
    <w:basedOn w:val="1"/>
    <w:qFormat/>
    <w:uiPriority w:val="0"/>
    <w:pPr>
      <w:tabs>
        <w:tab w:val="left" w:pos="360"/>
      </w:tabs>
    </w:pPr>
    <w:rPr>
      <w:rFonts w:ascii="Times New Roman" w:hAnsi="Times New Roman"/>
      <w:sz w:val="24"/>
      <w:szCs w:val="24"/>
    </w:rPr>
  </w:style>
  <w:style w:type="character" w:customStyle="1" w:styleId="41">
    <w:name w:val="正文文本 Char"/>
    <w:basedOn w:val="23"/>
    <w:link w:val="7"/>
    <w:qFormat/>
    <w:uiPriority w:val="0"/>
    <w:rPr>
      <w:rFonts w:ascii="Calibri" w:hAnsi="Calibri" w:eastAsia="宋体" w:cs="Calibri"/>
      <w:szCs w:val="21"/>
    </w:rPr>
  </w:style>
  <w:style w:type="character" w:customStyle="1" w:styleId="42">
    <w:name w:val="正文首行缩进 Char"/>
    <w:basedOn w:val="41"/>
    <w:link w:val="20"/>
    <w:qFormat/>
    <w:uiPriority w:val="0"/>
    <w:rPr>
      <w:rFonts w:ascii="Times New Roman" w:hAnsi="Times New Roman" w:eastAsia="仿宋_GB2312" w:cs="Times New Roman"/>
      <w:sz w:val="32"/>
      <w:szCs w:val="32"/>
    </w:rPr>
  </w:style>
  <w:style w:type="paragraph" w:customStyle="1" w:styleId="43">
    <w:name w:val="样式17"/>
    <w:basedOn w:val="1"/>
    <w:qFormat/>
    <w:uiPriority w:val="0"/>
    <w:pPr>
      <w:adjustRightInd w:val="0"/>
      <w:spacing w:line="360" w:lineRule="auto"/>
      <w:ind w:firstLine="628" w:firstLineChars="200"/>
    </w:pPr>
    <w:rPr>
      <w:rFonts w:ascii="仿宋_GB2312" w:hAnsi="仿宋" w:eastAsia="仿宋_GB2312" w:cs="仿宋_GB2312"/>
      <w:spacing w:val="-3"/>
      <w:sz w:val="32"/>
      <w:szCs w:val="32"/>
    </w:rPr>
  </w:style>
  <w:style w:type="paragraph" w:customStyle="1" w:styleId="44">
    <w:name w:val="样式16"/>
    <w:basedOn w:val="1"/>
    <w:qFormat/>
    <w:uiPriority w:val="0"/>
    <w:pPr>
      <w:adjustRightInd w:val="0"/>
      <w:spacing w:line="360" w:lineRule="auto"/>
      <w:ind w:firstLine="628" w:firstLineChars="200"/>
    </w:pPr>
    <w:rPr>
      <w:rFonts w:ascii="仿宋_GB2312" w:hAnsi="仿宋" w:eastAsia="仿宋_GB2312" w:cs="仿宋_GB2312"/>
      <w:spacing w:val="-3"/>
      <w:sz w:val="32"/>
      <w:szCs w:val="32"/>
    </w:rPr>
  </w:style>
  <w:style w:type="paragraph" w:customStyle="1" w:styleId="45">
    <w:name w:val="Char Char3"/>
    <w:basedOn w:val="1"/>
    <w:qFormat/>
    <w:uiPriority w:val="0"/>
    <w:pPr>
      <w:widowControl/>
      <w:spacing w:after="160" w:line="240" w:lineRule="exact"/>
      <w:jc w:val="left"/>
    </w:pPr>
    <w:rPr>
      <w:rFonts w:ascii="Times New Roman" w:hAnsi="Times New Roman"/>
      <w:szCs w:val="21"/>
    </w:rPr>
  </w:style>
  <w:style w:type="paragraph" w:styleId="46">
    <w:name w:val="List Paragraph"/>
    <w:basedOn w:val="1"/>
    <w:qFormat/>
    <w:uiPriority w:val="0"/>
    <w:pPr>
      <w:ind w:firstLine="420" w:firstLineChars="200"/>
    </w:pPr>
    <w:rPr>
      <w:rFonts w:cs="Calibri"/>
      <w:szCs w:val="21"/>
    </w:rPr>
  </w:style>
  <w:style w:type="paragraph" w:customStyle="1" w:styleId="47">
    <w:name w:val="reader-word-layer reader-word-s1-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8">
    <w:name w:val="Char1"/>
    <w:basedOn w:val="1"/>
    <w:qFormat/>
    <w:uiPriority w:val="0"/>
    <w:rPr>
      <w:rFonts w:ascii="Times New Roman" w:hAnsi="Times New Roman" w:eastAsia="仿宋_GB2312"/>
      <w:sz w:val="32"/>
      <w:szCs w:val="32"/>
    </w:rPr>
  </w:style>
  <w:style w:type="paragraph" w:styleId="49">
    <w:name w:val="No Spacing"/>
    <w:qFormat/>
    <w:uiPriority w:val="0"/>
    <w:pPr>
      <w:widowControl w:val="0"/>
      <w:spacing w:line="440" w:lineRule="exact"/>
      <w:jc w:val="both"/>
    </w:pPr>
    <w:rPr>
      <w:rFonts w:ascii="Calibri" w:hAnsi="Calibri" w:eastAsia="宋体" w:cs="Times New Roman"/>
      <w:kern w:val="2"/>
      <w:sz w:val="21"/>
      <w:szCs w:val="22"/>
      <w:lang w:val="en-US" w:eastAsia="zh-CN" w:bidi="ar-SA"/>
    </w:rPr>
  </w:style>
  <w:style w:type="character" w:customStyle="1" w:styleId="50">
    <w:name w:val="Char Char8"/>
    <w:basedOn w:val="23"/>
    <w:qFormat/>
    <w:locked/>
    <w:uiPriority w:val="0"/>
    <w:rPr>
      <w:rFonts w:ascii="Arial" w:hAnsi="Arial" w:eastAsia="楷体_GB2312" w:cs="Arial"/>
      <w:b/>
      <w:bCs/>
      <w:kern w:val="2"/>
      <w:sz w:val="32"/>
      <w:szCs w:val="32"/>
      <w:lang w:val="en-US" w:eastAsia="zh-CN" w:bidi="ar-SA"/>
    </w:rPr>
  </w:style>
  <w:style w:type="paragraph" w:customStyle="1" w:styleId="51">
    <w:name w:val="lz正文"/>
    <w:basedOn w:val="1"/>
    <w:link w:val="52"/>
    <w:qFormat/>
    <w:uiPriority w:val="0"/>
    <w:pPr>
      <w:widowControl/>
      <w:adjustRightInd w:val="0"/>
      <w:snapToGrid w:val="0"/>
      <w:spacing w:line="360" w:lineRule="auto"/>
      <w:ind w:firstLine="422" w:firstLineChars="200"/>
      <w:jc w:val="left"/>
    </w:pPr>
    <w:rPr>
      <w:rFonts w:ascii="Times New Roman" w:hAnsi="Times New Roman"/>
      <w:kern w:val="0"/>
      <w:sz w:val="24"/>
      <w:szCs w:val="21"/>
    </w:rPr>
  </w:style>
  <w:style w:type="character" w:customStyle="1" w:styleId="52">
    <w:name w:val="lz正文 Char"/>
    <w:link w:val="51"/>
    <w:qFormat/>
    <w:uiPriority w:val="0"/>
    <w:rPr>
      <w:rFonts w:ascii="Times New Roman" w:hAnsi="Times New Roman" w:eastAsia="宋体" w:cs="Times New Roman"/>
      <w:kern w:val="0"/>
      <w:sz w:val="24"/>
      <w:szCs w:val="21"/>
    </w:rPr>
  </w:style>
  <w:style w:type="character" w:customStyle="1" w:styleId="53">
    <w:name w:val="批注框文本 Char"/>
    <w:basedOn w:val="23"/>
    <w:link w:val="11"/>
    <w:qFormat/>
    <w:uiPriority w:val="0"/>
    <w:rPr>
      <w:rFonts w:ascii="Calibri" w:hAnsi="Calibri" w:eastAsia="宋体" w:cs="Calibri"/>
      <w:sz w:val="18"/>
      <w:szCs w:val="18"/>
    </w:rPr>
  </w:style>
  <w:style w:type="paragraph" w:customStyle="1" w:styleId="54">
    <w:name w:val="Char2"/>
    <w:basedOn w:val="1"/>
    <w:qFormat/>
    <w:uiPriority w:val="0"/>
    <w:rPr>
      <w:rFonts w:ascii="Times New Roman" w:hAnsi="Times New Roman" w:eastAsia="仿宋_GB2312"/>
      <w:sz w:val="32"/>
      <w:szCs w:val="32"/>
    </w:rPr>
  </w:style>
  <w:style w:type="paragraph" w:customStyle="1" w:styleId="55">
    <w:name w:val="TOC Heading"/>
    <w:basedOn w:val="2"/>
    <w:next w:val="1"/>
    <w:qFormat/>
    <w:uiPriority w:val="39"/>
    <w:pPr>
      <w:widowControl/>
      <w:spacing w:before="480" w:line="276" w:lineRule="auto"/>
      <w:jc w:val="left"/>
      <w:outlineLvl w:val="9"/>
    </w:pPr>
    <w:rPr>
      <w:rFonts w:ascii="Cambria" w:hAnsi="Cambria" w:eastAsia="宋体" w:cs="Times New Roman"/>
      <w:b/>
      <w:bCs/>
      <w:color w:val="365F91"/>
      <w:kern w:val="0"/>
      <w:sz w:val="28"/>
      <w:szCs w:val="28"/>
    </w:rPr>
  </w:style>
  <w:style w:type="paragraph" w:customStyle="1" w:styleId="56">
    <w:name w:val="无间隔1"/>
    <w:qFormat/>
    <w:uiPriority w:val="99"/>
    <w:pPr>
      <w:widowControl w:val="0"/>
      <w:jc w:val="both"/>
    </w:pPr>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9590</Words>
  <Characters>54665</Characters>
  <Lines>455</Lines>
  <Paragraphs>128</Paragraphs>
  <TotalTime>3</TotalTime>
  <ScaleCrop>false</ScaleCrop>
  <LinksUpToDate>false</LinksUpToDate>
  <CharactersWithSpaces>64127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2021-10-19T11:47:00Z</dcterms:created>
  <dc:creator>Lenovo</dc:creator>
  <cp:lastModifiedBy>Administrator</cp:lastModifiedBy>
  <cp:lastPrinted>2016-01-29T07:36:00Z</cp:lastPrinted>
  <dcterms:modified xsi:type="dcterms:W3CDTF">2024-08-28T03:23:10Z</dcterms:modified>
  <dc:title>秘密                                    编号：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