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年第一季度广西壮族自治区公共就业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caps w:val="0"/>
          <w:color w:val="333333"/>
          <w:spacing w:val="0"/>
          <w:sz w:val="24"/>
          <w:szCs w:val="24"/>
          <w:bdr w:val="none" w:color="auto" w:sz="0" w:space="0"/>
          <w:shd w:val="clear" w:fill="FFFFFF"/>
        </w:rPr>
      </w:pPr>
      <w:r>
        <w:rPr>
          <w:rFonts w:hint="default" w:ascii="Times New Roman" w:hAnsi="Times New Roman" w:eastAsia="方正小标宋简体" w:cs="Times New Roman"/>
          <w:sz w:val="44"/>
          <w:szCs w:val="44"/>
        </w:rPr>
        <w:t>服务机构人力资源市场</w:t>
      </w:r>
      <w:r>
        <w:rPr>
          <w:rFonts w:hint="eastAsia" w:ascii="Times New Roman" w:hAnsi="Times New Roman" w:eastAsia="方正小标宋简体" w:cs="Times New Roman"/>
          <w:sz w:val="44"/>
          <w:szCs w:val="44"/>
          <w:lang w:val="en-US" w:eastAsia="zh-CN"/>
        </w:rPr>
        <w:t>职业</w:t>
      </w:r>
      <w:r>
        <w:rPr>
          <w:rFonts w:hint="default" w:ascii="Times New Roman" w:hAnsi="Times New Roman" w:eastAsia="方正小标宋简体" w:cs="Times New Roman"/>
          <w:sz w:val="44"/>
          <w:szCs w:val="44"/>
        </w:rPr>
        <w:t>供求状况分析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编制说明: 本供求状况分析数据来源于第一季度全区14个设区市公共就业服务机构人力资源市场采集的供求状况信息，均为第一季度供求有效数（包含上</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季度登记但本季度仍在有效期的供求数据）。经汇总分析，数据反映了我区人力资源市场运行的基本情况。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从供求总体情况看，2024年第一季度全区14个设区市公共人力资源市场发布岗位28.74万个，登记求职16.61万人,供求两端均有一定比例上升。求人倍率为1.73，保持在合理区间小幅波动，供需相对平稳。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今年春节前后，我区各地密集开展就业援助月、“春风行动”等大规模的招聘活动，各类市场主体用工得到进一步满足。一季度岗位需求多为新增性用工，到一季度末，供求两端增长势头有所放缓。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二、各产业、行业供求情况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（一）从产业需求看（见表1），第一、二、三产业岗位需求比重分别为9.34%、40.34%、50.32%。第三产业用人需求仍然占人力资源市场需求总量的50%以上。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从行业需求看（见表1），第二产业中制造业用人需求占比最高，达34.26%，仍为吸纳就业主要途径；批发和零售业（13.17%）、住宿和餐饮业（11.78%）、租赁和商务服务业（7.61%）、居民服务、修理和其他服务业（6.22%），这4个行业用人需求占比仍然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（三）从职业需求看，本季度社会生产服务和生活服务人员用人需求量最旺（33.41%），专业技术人员（26.33%），生产制造及有关人员（21.19%）用人需求占比较高。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（四）从技能和职称等级看（见表2），用人单位对求职者技术技能等级有明确要求的占需求人数的59.64%，主要集中在三级、四级、五级职业资格，以及初级、中级职称，其所占比重合计为59.04%。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表1：产业、行业需求情况</w:t>
      </w:r>
    </w:p>
    <w:tbl>
      <w:tblPr>
        <w:tblW w:w="8531" w:type="dxa"/>
        <w:jc w:val="center"/>
        <w:tblInd w:w="8"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24"/>
        <w:gridCol w:w="4230"/>
        <w:gridCol w:w="1526"/>
        <w:gridCol w:w="135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jc w:val="center"/>
        </w:trPr>
        <w:tc>
          <w:tcPr>
            <w:tcW w:w="1424" w:type="dxa"/>
            <w:tcBorders>
              <w:top w:val="single" w:color="auto" w:sz="6" w:space="0"/>
              <w:left w:val="single" w:color="auto" w:sz="6" w:space="0"/>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产 业</w:t>
            </w:r>
          </w:p>
        </w:tc>
        <w:tc>
          <w:tcPr>
            <w:tcW w:w="4230" w:type="dxa"/>
            <w:tcBorders>
              <w:top w:val="single" w:color="auto" w:sz="6" w:space="0"/>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行 业</w:t>
            </w:r>
          </w:p>
        </w:tc>
        <w:tc>
          <w:tcPr>
            <w:tcW w:w="1526" w:type="dxa"/>
            <w:tcBorders>
              <w:top w:val="single" w:color="auto" w:sz="6" w:space="0"/>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岗位需求数 （个）</w:t>
            </w:r>
          </w:p>
        </w:tc>
        <w:tc>
          <w:tcPr>
            <w:tcW w:w="1351" w:type="dxa"/>
            <w:tcBorders>
              <w:top w:val="single" w:color="auto" w:sz="6" w:space="0"/>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所占比重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30" w:hRule="atLeast"/>
          <w:jc w:val="center"/>
        </w:trPr>
        <w:tc>
          <w:tcPr>
            <w:tcW w:w="1424" w:type="dxa"/>
            <w:tcBorders>
              <w:top w:val="nil"/>
              <w:left w:val="single" w:color="auto" w:sz="6" w:space="0"/>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第一产业</w:t>
            </w: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农、林、牧、渔业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26845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9.34%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424" w:type="dxa"/>
            <w:vMerge w:val="restart"/>
            <w:tcBorders>
              <w:top w:val="nil"/>
              <w:left w:val="single" w:color="auto" w:sz="6" w:space="0"/>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第二产业</w:t>
            </w: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采矿业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765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制造业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98452</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34.26%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电力、燃气及水的生产和供应业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3841</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建筑业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12853</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4.47%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424" w:type="dxa"/>
            <w:vMerge w:val="restart"/>
            <w:tcBorders>
              <w:top w:val="nil"/>
              <w:left w:val="single" w:color="auto" w:sz="6" w:space="0"/>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第三产业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第三产业</w:t>
            </w: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批发和零售业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37854</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13.17%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3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交通运输、仓储和邮政业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5672</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1.97%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住宿和餐饮业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33865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11.78%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信息传输、计算机服务和软件业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6984</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2.43%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金融业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2175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0.76%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房地产业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3121</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租赁和商务服务业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21864</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7.61%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科学研究和技术服务业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3589</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水利、环境和公共设施管理业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3485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居民服务、修理和其他服务业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17865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6.22%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教育</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2084</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0.73%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卫生、社会保障和社会福利业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1985</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文化、体育和娱乐业</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2681</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公共管理、社会保障和社会组织</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1286</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0.45%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424" w:type="dxa"/>
            <w:vMerge w:val="continue"/>
            <w:tcBorders>
              <w:top w:val="nil"/>
              <w:left w:val="single" w:color="auto" w:sz="6" w:space="0"/>
              <w:bottom w:val="single" w:color="auto" w:sz="6" w:space="0"/>
              <w:right w:val="single" w:color="auto" w:sz="6" w:space="0"/>
            </w:tcBorders>
            <w:shd w:val="clear"/>
            <w:tcMar>
              <w:left w:w="120" w:type="dxa"/>
              <w:right w:w="105" w:type="dxa"/>
            </w:tcMar>
            <w:vAlign w:val="center"/>
          </w:tcPr>
          <w:p>
            <w:pPr>
              <w:rPr>
                <w:rFonts w:hint="eastAsia" w:ascii="宋体"/>
                <w:sz w:val="24"/>
                <w:szCs w:val="24"/>
              </w:rPr>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国际组织</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92</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0.03%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424" w:type="dxa"/>
            <w:tcBorders>
              <w:top w:val="nil"/>
              <w:left w:val="single" w:color="auto" w:sz="6" w:space="0"/>
              <w:bottom w:val="single" w:color="auto" w:sz="6" w:space="0"/>
              <w:right w:val="single" w:color="auto" w:sz="6" w:space="0"/>
            </w:tcBorders>
            <w:shd w:val="clear"/>
            <w:tcMar>
              <w:left w:w="120" w:type="dxa"/>
              <w:right w:w="105" w:type="dxa"/>
            </w:tcMar>
            <w:vAlign w:val="center"/>
          </w:tcPr>
          <w:p>
            <w:pPr>
              <w:keepNext w:val="0"/>
              <w:keepLines w:val="0"/>
              <w:widowControl/>
              <w:suppressLineNumbers w:val="0"/>
              <w:spacing w:before="0" w:beforeAutospacing="0" w:after="0" w:afterAutospacing="0"/>
              <w:ind w:left="0" w:right="0"/>
              <w:jc w:val="left"/>
            </w:pPr>
          </w:p>
        </w:tc>
        <w:tc>
          <w:tcPr>
            <w:tcW w:w="4230"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合计</w:t>
            </w:r>
          </w:p>
        </w:tc>
        <w:tc>
          <w:tcPr>
            <w:tcW w:w="1526"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287358</w:t>
            </w:r>
          </w:p>
        </w:tc>
        <w:tc>
          <w:tcPr>
            <w:tcW w:w="1351" w:type="dxa"/>
            <w:tcBorders>
              <w:top w:val="nil"/>
              <w:left w:val="nil"/>
              <w:bottom w:val="single" w:color="auto" w:sz="6" w:space="0"/>
              <w:right w:val="single" w:color="auto" w:sz="6" w:space="0"/>
            </w:tcBorders>
            <w:shd w:val="clear"/>
            <w:tcMar>
              <w:left w:w="12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表2：技能等级、职称供需情况</w:t>
      </w:r>
    </w:p>
    <w:tbl>
      <w:tblPr>
        <w:tblW w:w="842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912"/>
        <w:gridCol w:w="1109"/>
        <w:gridCol w:w="1183"/>
        <w:gridCol w:w="1036"/>
        <w:gridCol w:w="1097"/>
        <w:gridCol w:w="10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single" w:color="auto" w:sz="6" w:space="0"/>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技能等级、职称</w:t>
            </w:r>
          </w:p>
        </w:tc>
        <w:tc>
          <w:tcPr>
            <w:tcW w:w="1109" w:type="dxa"/>
            <w:tcBorders>
              <w:top w:val="single" w:color="auto" w:sz="6" w:space="0"/>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人数</w:t>
            </w:r>
          </w:p>
        </w:tc>
        <w:tc>
          <w:tcPr>
            <w:tcW w:w="1183" w:type="dxa"/>
            <w:tcBorders>
              <w:top w:val="single" w:color="auto" w:sz="6" w:space="0"/>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比重</w:t>
            </w:r>
          </w:p>
        </w:tc>
        <w:tc>
          <w:tcPr>
            <w:tcW w:w="1036" w:type="dxa"/>
            <w:tcBorders>
              <w:top w:val="single" w:color="auto" w:sz="6" w:space="0"/>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求职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人数</w:t>
            </w:r>
          </w:p>
        </w:tc>
        <w:tc>
          <w:tcPr>
            <w:tcW w:w="1097" w:type="dxa"/>
            <w:tcBorders>
              <w:top w:val="single" w:color="auto" w:sz="6" w:space="0"/>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求职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比重</w:t>
            </w:r>
          </w:p>
        </w:tc>
        <w:tc>
          <w:tcPr>
            <w:tcW w:w="1089" w:type="dxa"/>
            <w:tcBorders>
              <w:top w:val="single" w:color="auto" w:sz="6" w:space="0"/>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求人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倍率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职业资格五级（初级技能）</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53226</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18.52%</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42551</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25.62%</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0" w:hRule="atLeast"/>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职业资格四级（中级技能）</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34451</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11.99%</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18632</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11.22%</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职业资格三级（高级技能）</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6854</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2.39%</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3486</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2.10%</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1.97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职业资格二级（技师）</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1073</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0.37%</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519</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0.31%</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职业资格一级（高级技师）</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290</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0.10%</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136</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0.08%</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初级职称</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47951</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16.69%</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29886</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18.00%</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中级职称</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27168</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9.45%</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15948</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9.60%</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高级职称</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362</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0.13%</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157</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0.09%</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2.31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无技术等级或职称</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54762</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32.97%</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无要求</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115983</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40.36%</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2912" w:type="dxa"/>
            <w:tcBorders>
              <w:top w:val="nil"/>
              <w:left w:val="single" w:color="auto" w:sz="6" w:space="0"/>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合计</w:t>
            </w:r>
          </w:p>
        </w:tc>
        <w:tc>
          <w:tcPr>
            <w:tcW w:w="110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287358</w:t>
            </w:r>
          </w:p>
        </w:tc>
        <w:tc>
          <w:tcPr>
            <w:tcW w:w="1183"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100%</w:t>
            </w:r>
          </w:p>
        </w:tc>
        <w:tc>
          <w:tcPr>
            <w:tcW w:w="1036"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166077</w:t>
            </w:r>
          </w:p>
        </w:tc>
        <w:tc>
          <w:tcPr>
            <w:tcW w:w="1097"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100%</w:t>
            </w:r>
          </w:p>
        </w:tc>
        <w:tc>
          <w:tcPr>
            <w:tcW w:w="1089" w:type="dxa"/>
            <w:tcBorders>
              <w:top w:val="nil"/>
              <w:left w:val="nil"/>
              <w:bottom w:val="single" w:color="auto" w:sz="6" w:space="0"/>
              <w:right w:val="single" w:color="auto" w:sz="6" w:space="0"/>
            </w:tcBorders>
            <w:shd w:val="clear"/>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1.73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三、从求职人员分类分析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（一）从求职人员类别看，本季度失业人员依然是求职主体，求职比重为38.14%，新成长失业青年（以应届高校毕业生为主）求职比重为25.35%。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（二）从学历分布看（见表3），本季度高中、大专、大学学历求职者较多，分别占求职总数的29.86%、26.90%、24.99%，占比合计为81.75%。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表3：求职者学历情况</w:t>
      </w:r>
    </w:p>
    <w:tbl>
      <w:tblPr>
        <w:tblW w:w="851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358"/>
        <w:gridCol w:w="2109"/>
        <w:gridCol w:w="30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c>
          <w:tcPr>
            <w:tcW w:w="335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学历</w:t>
            </w:r>
          </w:p>
        </w:tc>
        <w:tc>
          <w:tcPr>
            <w:tcW w:w="2109"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求职人数</w:t>
            </w:r>
          </w:p>
        </w:tc>
        <w:tc>
          <w:tcPr>
            <w:tcW w:w="3049"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Style w:val="5"/>
                <w:rFonts w:hint="eastAsia" w:ascii="宋体" w:hAnsi="宋体" w:eastAsia="宋体" w:cs="宋体"/>
                <w:sz w:val="24"/>
                <w:szCs w:val="24"/>
                <w:bdr w:val="none" w:color="auto" w:sz="0" w:space="0"/>
              </w:rPr>
              <w:t>求职比重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初中及以下</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26054</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15.69%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25" w:hRule="atLeast"/>
        </w:trPr>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（包含：职高、技校、中专）</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49586</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29.86%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大专</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44672</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26.90%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大学</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41497</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24.99%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硕士及以上</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4268</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2.57%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3358"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合计</w:t>
            </w:r>
          </w:p>
        </w:tc>
        <w:tc>
          <w:tcPr>
            <w:tcW w:w="210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166077</w:t>
            </w:r>
          </w:p>
        </w:tc>
        <w:tc>
          <w:tcPr>
            <w:tcW w:w="304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sz w:val="24"/>
                <w:szCs w:val="24"/>
              </w:rPr>
            </w:pPr>
            <w:r>
              <w:rPr>
                <w:rFonts w:hint="eastAsia" w:ascii="宋体" w:hAnsi="宋体" w:eastAsia="宋体" w:cs="宋体"/>
                <w:b w:val="0"/>
                <w:sz w:val="24"/>
                <w:szCs w:val="24"/>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（三）从求职职业看，求职人数排名前三的职业是: 社会生产服务和生活服务人员、专业技术人员、生产制造及有关人员，以上职业的求职人数所占比重分别为30.87%、26.27%、20.38%。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（四）从技能和职称等级看（见表2），本季度67.02%的求职者都具有某种技术资格等级，同样是主要集中在三、四、五级职业资格以及初级、中级职称，求职比重合计为66.54%。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四、职称、职业、年龄和文化程度分析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求人倍率是人力资源市场在一个统计周期内有效需求人数与有效求职人数之比，反映一个统计周期内人力资源市场的供需状况，衡量求职者与用人单位岗位需求匹配程度。根据数据显示：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（一）从职称或技能等级分类看（见表2），本季度，职称或技能等级越高，求人倍率就相对较高，反映出市场上技能型、专业型人才的需求较大。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从职业分类看，生产服务和生活服务人员、专业技术人员、生产制造及有关人员占据了用工需求的前三位，其中社会生产服务和生活服务人员的求人倍率最高，为1.87，说明每100个求职者可以选择187个岗位。由此可见，第一季度的人力资源市场上，社会生产服务和生活服务人员的岗位可选择性更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（三）从年龄分组看，16至24 岁、25至34 岁的求人倍率略高于其他年龄组，其求人倍率分别为1.90、1.81，说明这两个年龄组的就业选择多于其他年龄组。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（四）从文化程度分组看，求人倍率对比显示，每个文化程度分组的求人倍率都超过 1,说明都处在人力资源需求大于供给的状况，但硕士以上文化程度的需求量和供给量均小于其他文化程度的需求量和供给量。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2644F"/>
    <w:rsid w:val="6D22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2024-08-15T01:12:00Z</dcterms:created>
  <dc:creator>Administrator</dc:creator>
  <cp:lastModifiedBy>Administrator</cp:lastModifiedBy>
  <dcterms:modified xsi:type="dcterms:W3CDTF">2024-08-15T01:13:19Z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