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55B" w:rsidRPr="0011755B" w:rsidRDefault="0011755B" w:rsidP="0011755B">
      <w:pPr>
        <w:widowControl/>
        <w:shd w:val="clear" w:color="auto" w:fill="FFFFFF"/>
        <w:jc w:val="center"/>
        <w:outlineLvl w:val="0"/>
        <w:rPr>
          <w:rFonts w:ascii="微软雅黑" w:eastAsia="微软雅黑" w:hAnsi="微软雅黑" w:cs="宋体"/>
          <w:color w:val="333333"/>
          <w:kern w:val="36"/>
          <w:sz w:val="38"/>
          <w:szCs w:val="38"/>
        </w:rPr>
      </w:pPr>
      <w:r w:rsidRPr="0011755B">
        <w:rPr>
          <w:rFonts w:ascii="微软雅黑" w:eastAsia="微软雅黑" w:hAnsi="微软雅黑" w:cs="宋体" w:hint="eastAsia"/>
          <w:color w:val="333333"/>
          <w:kern w:val="36"/>
          <w:sz w:val="38"/>
          <w:szCs w:val="38"/>
        </w:rPr>
        <w:t>2021年第二季度广西人才网大中专院校毕业生供求及薪酬情况分析</w:t>
      </w:r>
    </w:p>
    <w:p w:rsidR="0011755B" w:rsidRPr="0011755B" w:rsidRDefault="0011755B" w:rsidP="0011755B">
      <w:pPr>
        <w:widowControl/>
        <w:shd w:val="clear" w:color="auto" w:fill="FFFFFF"/>
        <w:spacing w:line="376" w:lineRule="atLeast"/>
        <w:ind w:firstLine="720"/>
        <w:jc w:val="left"/>
        <w:rPr>
          <w:rFonts w:ascii="宋体" w:eastAsia="宋体" w:hAnsi="宋体" w:cs="宋体" w:hint="eastAsia"/>
          <w:color w:val="333333"/>
          <w:kern w:val="0"/>
          <w:sz w:val="24"/>
          <w:szCs w:val="24"/>
        </w:rPr>
      </w:pPr>
      <w:r w:rsidRPr="0011755B">
        <w:rPr>
          <w:rFonts w:ascii="宋体" w:eastAsia="宋体" w:hAnsi="宋体" w:cs="宋体"/>
          <w:color w:val="333333"/>
          <w:kern w:val="0"/>
          <w:sz w:val="20"/>
          <w:szCs w:val="20"/>
        </w:rPr>
        <w:t>2021年第二季度，通过广西人才网招聘应届毕业生的用人单位（简称“用人单位”，下同）共计7279家，与去年同期的7108家相比增加171家，同比增长2.41%；需求人数为24522人，与去年同期的27157人相比减少2635人，同比下滑9.70%；求职人数为45346人，与去年同期的54396人相比减少9050人，同比下滑16.64%；人才供求比为1.85（即毕业生需求人数为1时，毕业生求职人数为1.85，下同），与去年同期的2.00减少0.15，但与上季度的1.60增加0.25。</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一、</w:t>
      </w:r>
      <w:r w:rsidRPr="0011755B">
        <w:rPr>
          <w:rFonts w:ascii="宋体" w:eastAsia="宋体" w:hAnsi="宋体" w:cs="宋体"/>
          <w:b/>
          <w:bCs/>
          <w:color w:val="333333"/>
          <w:kern w:val="0"/>
          <w:sz w:val="20"/>
          <w:szCs w:val="20"/>
        </w:rPr>
        <w:t>总体情况</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（一）毕业生供应量持续增长 ，但同比仍下滑</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2021年第二季度，广西人才网中毕业生总体求职人才数为45346人，与上季度相比增加6514人，从求职人才数的变动趋势上看，求职人才数量呈现持续增长态势。但与去年同期的54396人相比减少9050人，同比下滑16.64%。</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毕业生求职人才数近年各季度走势如下图：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6798310" cy="2719070"/>
            <wp:effectExtent l="19050" t="0" r="2540" b="0"/>
            <wp:docPr id="23" name="图片 23" descr="https://image.gxrc.com/news/images/2021/abba15a9-0831-4038-a2de-72249e326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gxrc.com/news/images/2021/abba15a9-0831-4038-a2de-72249e326ec8.png"/>
                    <pic:cNvPicPr>
                      <a:picLocks noChangeAspect="1" noChangeArrowheads="1"/>
                    </pic:cNvPicPr>
                  </pic:nvPicPr>
                  <pic:blipFill>
                    <a:blip r:embed="rId4" cstate="print"/>
                    <a:srcRect/>
                    <a:stretch>
                      <a:fillRect/>
                    </a:stretch>
                  </pic:blipFill>
                  <pic:spPr bwMode="auto">
                    <a:xfrm>
                      <a:off x="0" y="0"/>
                      <a:ext cx="6798310" cy="271907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（二）毕业生需求量回升不明显</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2021年第二季度，广西人才网中毕业生需求人数为24522人，从季节性变动趋势上看，需求量回升并不明显。与上季度相比只增加242人，增幅只为1.00%，且人才需求同比下降，同比减少9.70%。</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毕业生需求人才数近年各季度走势如下图：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6790690" cy="2719070"/>
            <wp:effectExtent l="19050" t="0" r="0" b="0"/>
            <wp:docPr id="24" name="图片 24" descr="https://image.gxrc.com/news/images/2021/36d77846-f03d-4f0a-aa2a-51ad68c5a2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gxrc.com/news/images/2021/36d77846-f03d-4f0a-aa2a-51ad68c5a29f.png"/>
                    <pic:cNvPicPr>
                      <a:picLocks noChangeAspect="1" noChangeArrowheads="1"/>
                    </pic:cNvPicPr>
                  </pic:nvPicPr>
                  <pic:blipFill>
                    <a:blip r:embed="rId5" cstate="print"/>
                    <a:srcRect/>
                    <a:stretch>
                      <a:fillRect/>
                    </a:stretch>
                  </pic:blipFill>
                  <pic:spPr bwMode="auto">
                    <a:xfrm>
                      <a:off x="0" y="0"/>
                      <a:ext cx="6790690" cy="271907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（三）人才供求比同比减少，就业压力稍有缓解</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2021年第二季度，广西人才网毕业生人才供求比为1.85，同比减少0.15，就业压力稍有缓解。</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lastRenderedPageBreak/>
        <w:drawing>
          <wp:inline distT="0" distB="0" distL="0" distR="0">
            <wp:extent cx="6838315" cy="2703195"/>
            <wp:effectExtent l="19050" t="0" r="635" b="0"/>
            <wp:docPr id="25" name="图片 25" descr="https://image.gxrc.com/news/images/2021/cb473503-7da2-4724-8063-60d06c905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gxrc.com/news/images/2021/cb473503-7da2-4724-8063-60d06c905951.png"/>
                    <pic:cNvPicPr>
                      <a:picLocks noChangeAspect="1" noChangeArrowheads="1"/>
                    </pic:cNvPicPr>
                  </pic:nvPicPr>
                  <pic:blipFill>
                    <a:blip r:embed="rId6" cstate="print"/>
                    <a:srcRect/>
                    <a:stretch>
                      <a:fillRect/>
                    </a:stretch>
                  </pic:blipFill>
                  <pic:spPr bwMode="auto">
                    <a:xfrm>
                      <a:off x="0" y="0"/>
                      <a:ext cx="6838315" cy="2703195"/>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二、用人单位特征、产业和行业人才供需分布特点</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（一）用人单位性质分布</w:t>
      </w:r>
    </w:p>
    <w:tbl>
      <w:tblPr>
        <w:tblW w:w="7469" w:type="dxa"/>
        <w:jc w:val="center"/>
        <w:tblCellMar>
          <w:top w:w="15" w:type="dxa"/>
          <w:left w:w="15" w:type="dxa"/>
          <w:bottom w:w="15" w:type="dxa"/>
          <w:right w:w="15" w:type="dxa"/>
        </w:tblCellMar>
        <w:tblLook w:val="04A0"/>
      </w:tblPr>
      <w:tblGrid>
        <w:gridCol w:w="3832"/>
        <w:gridCol w:w="1894"/>
        <w:gridCol w:w="1743"/>
      </w:tblGrid>
      <w:tr w:rsidR="0011755B" w:rsidRPr="0011755B" w:rsidTr="0011755B">
        <w:trPr>
          <w:jc w:val="center"/>
        </w:trPr>
        <w:tc>
          <w:tcPr>
            <w:tcW w:w="3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单位类型</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数量</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占比</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事业单位</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62</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0.85%</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企业</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6699</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92.03%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ind w:firstLine="480"/>
              <w:jc w:val="left"/>
              <w:rPr>
                <w:rFonts w:ascii="宋体" w:eastAsia="宋体" w:hAnsi="宋体" w:cs="宋体"/>
                <w:kern w:val="0"/>
                <w:sz w:val="24"/>
                <w:szCs w:val="24"/>
              </w:rPr>
            </w:pPr>
            <w:r w:rsidRPr="0011755B">
              <w:rPr>
                <w:rFonts w:ascii="宋体" w:eastAsia="宋体" w:hAnsi="宋体" w:cs="宋体" w:hint="eastAsia"/>
                <w:kern w:val="0"/>
                <w:sz w:val="20"/>
                <w:szCs w:val="20"/>
              </w:rPr>
              <w:t>国有（控股）单位</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432</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5.93%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    集体企业</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0.15%</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ind w:firstLine="480"/>
              <w:jc w:val="left"/>
              <w:rPr>
                <w:rFonts w:ascii="宋体" w:eastAsia="宋体" w:hAnsi="宋体" w:cs="宋体"/>
                <w:kern w:val="0"/>
                <w:sz w:val="24"/>
                <w:szCs w:val="24"/>
              </w:rPr>
            </w:pPr>
            <w:r w:rsidRPr="0011755B">
              <w:rPr>
                <w:rFonts w:ascii="宋体" w:eastAsia="宋体" w:hAnsi="宋体" w:cs="宋体" w:hint="eastAsia"/>
                <w:kern w:val="0"/>
                <w:sz w:val="20"/>
                <w:szCs w:val="20"/>
              </w:rPr>
              <w:t>民营企业</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6137</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84.31%</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ind w:firstLine="480"/>
              <w:jc w:val="left"/>
              <w:rPr>
                <w:rFonts w:ascii="宋体" w:eastAsia="宋体" w:hAnsi="宋体" w:cs="宋体"/>
                <w:kern w:val="0"/>
                <w:sz w:val="24"/>
                <w:szCs w:val="24"/>
              </w:rPr>
            </w:pPr>
            <w:r w:rsidRPr="0011755B">
              <w:rPr>
                <w:rFonts w:ascii="宋体" w:eastAsia="宋体" w:hAnsi="宋体" w:cs="宋体" w:hint="eastAsia"/>
                <w:kern w:val="0"/>
                <w:sz w:val="20"/>
                <w:szCs w:val="20"/>
              </w:rPr>
              <w:t>中外合资企业</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68</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0.93%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ind w:firstLine="480"/>
              <w:jc w:val="left"/>
              <w:rPr>
                <w:rFonts w:ascii="宋体" w:eastAsia="宋体" w:hAnsi="宋体" w:cs="宋体"/>
                <w:kern w:val="0"/>
                <w:sz w:val="24"/>
                <w:szCs w:val="24"/>
              </w:rPr>
            </w:pPr>
            <w:r w:rsidRPr="0011755B">
              <w:rPr>
                <w:rFonts w:ascii="宋体" w:eastAsia="宋体" w:hAnsi="宋体" w:cs="宋体" w:hint="eastAsia"/>
                <w:kern w:val="0"/>
                <w:sz w:val="20"/>
                <w:szCs w:val="20"/>
              </w:rPr>
              <w:t>港澳台投资企业</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51</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0.70%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个体经营</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162</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2.23%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lastRenderedPageBreak/>
              <w:t>其他单位</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356</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4.89%</w:t>
            </w:r>
          </w:p>
        </w:tc>
      </w:tr>
      <w:tr w:rsidR="0011755B" w:rsidRPr="0011755B" w:rsidTr="0011755B">
        <w:trPr>
          <w:jc w:val="center"/>
        </w:trPr>
        <w:tc>
          <w:tcPr>
            <w:tcW w:w="38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8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7279</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100.00%</w:t>
            </w:r>
          </w:p>
        </w:tc>
      </w:tr>
    </w:tbl>
    <w:p w:rsidR="0011755B" w:rsidRPr="0011755B" w:rsidRDefault="0011755B" w:rsidP="0011755B">
      <w:pPr>
        <w:widowControl/>
        <w:shd w:val="clear" w:color="auto" w:fill="FFFFFF"/>
        <w:spacing w:line="376" w:lineRule="atLeast"/>
        <w:ind w:firstLine="72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其中，企业是用人单位的主要来源，其占比为92.03%，为6699家。</w:t>
      </w:r>
    </w:p>
    <w:p w:rsidR="0011755B" w:rsidRPr="0011755B" w:rsidRDefault="0011755B" w:rsidP="0011755B">
      <w:pPr>
        <w:widowControl/>
        <w:shd w:val="clear" w:color="auto" w:fill="FFFFFF"/>
        <w:spacing w:line="376" w:lineRule="atLeast"/>
        <w:ind w:firstLine="72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注：上表中的占比指各类型用人单位家数占总用人单位家数的比例。</w:t>
      </w:r>
    </w:p>
    <w:p w:rsidR="0011755B" w:rsidRPr="0011755B" w:rsidRDefault="0011755B" w:rsidP="0011755B">
      <w:pPr>
        <w:widowControl/>
        <w:shd w:val="clear" w:color="auto" w:fill="FFFFFF"/>
        <w:spacing w:line="376" w:lineRule="atLeast"/>
        <w:ind w:firstLine="60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（二）用人单位产业与行业分布情况</w:t>
      </w:r>
    </w:p>
    <w:tbl>
      <w:tblPr>
        <w:tblW w:w="4652" w:type="dxa"/>
        <w:jc w:val="center"/>
        <w:tblCellMar>
          <w:top w:w="15" w:type="dxa"/>
          <w:left w:w="15" w:type="dxa"/>
          <w:bottom w:w="15" w:type="dxa"/>
          <w:right w:w="15" w:type="dxa"/>
        </w:tblCellMar>
        <w:tblLook w:val="04A0"/>
      </w:tblPr>
      <w:tblGrid>
        <w:gridCol w:w="1355"/>
        <w:gridCol w:w="1536"/>
        <w:gridCol w:w="1761"/>
      </w:tblGrid>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产业</w:t>
            </w:r>
          </w:p>
        </w:tc>
        <w:tc>
          <w:tcPr>
            <w:tcW w:w="153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单位数量</w:t>
            </w:r>
          </w:p>
        </w:tc>
        <w:tc>
          <w:tcPr>
            <w:tcW w:w="175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单位占比</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第一产业</w:t>
            </w:r>
          </w:p>
        </w:tc>
        <w:tc>
          <w:tcPr>
            <w:tcW w:w="153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2.69%</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第二产业</w:t>
            </w:r>
          </w:p>
        </w:tc>
        <w:tc>
          <w:tcPr>
            <w:tcW w:w="153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2837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38.98%</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第三产业</w:t>
            </w:r>
          </w:p>
        </w:tc>
        <w:tc>
          <w:tcPr>
            <w:tcW w:w="153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4246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58.33%</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53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7279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w:t>
            </w:r>
          </w:p>
        </w:tc>
      </w:tr>
    </w:tbl>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由上表所示，用人单位依旧主要集中在第二、第三产业中，其中第三产业的用人单位占比为58.33%。</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详细行业分布见下表：</w:t>
      </w:r>
    </w:p>
    <w:tbl>
      <w:tblPr>
        <w:tblW w:w="9447" w:type="dxa"/>
        <w:jc w:val="center"/>
        <w:tblCellMar>
          <w:top w:w="15" w:type="dxa"/>
          <w:left w:w="15" w:type="dxa"/>
          <w:bottom w:w="15" w:type="dxa"/>
          <w:right w:w="15" w:type="dxa"/>
        </w:tblCellMar>
        <w:tblLook w:val="04A0"/>
      </w:tblPr>
      <w:tblGrid>
        <w:gridCol w:w="1459"/>
        <w:gridCol w:w="4122"/>
        <w:gridCol w:w="1700"/>
        <w:gridCol w:w="2166"/>
      </w:tblGrid>
      <w:tr w:rsidR="0011755B" w:rsidRPr="0011755B" w:rsidTr="0011755B">
        <w:trPr>
          <w:jc w:val="center"/>
        </w:trPr>
        <w:tc>
          <w:tcPr>
            <w:tcW w:w="145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产业</w:t>
            </w:r>
          </w:p>
        </w:tc>
        <w:tc>
          <w:tcPr>
            <w:tcW w:w="411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行业</w:t>
            </w:r>
          </w:p>
        </w:tc>
        <w:tc>
          <w:tcPr>
            <w:tcW w:w="16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用人单位数</w:t>
            </w:r>
          </w:p>
        </w:tc>
        <w:tc>
          <w:tcPr>
            <w:tcW w:w="216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用人单位占比</w:t>
            </w:r>
          </w:p>
        </w:tc>
      </w:tr>
      <w:tr w:rsidR="0011755B" w:rsidRPr="0011755B" w:rsidTr="0011755B">
        <w:trPr>
          <w:jc w:val="center"/>
        </w:trPr>
        <w:tc>
          <w:tcPr>
            <w:tcW w:w="145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第一产业</w:t>
            </w: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0.92%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林业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0.25%</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畜牧业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0.27%</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渔业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农、林、牧、渔服务业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89</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196</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2.69%</w:t>
            </w:r>
          </w:p>
        </w:tc>
      </w:tr>
      <w:tr w:rsidR="0011755B" w:rsidRPr="0011755B" w:rsidTr="0011755B">
        <w:trPr>
          <w:jc w:val="center"/>
        </w:trPr>
        <w:tc>
          <w:tcPr>
            <w:tcW w:w="145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第二产业</w:t>
            </w: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采矿业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1.76%</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制造业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1277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17.54%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电力、燃气及水的生产和供应业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134</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建筑业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1298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17.83%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2837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38.98%</w:t>
            </w:r>
          </w:p>
        </w:tc>
      </w:tr>
      <w:tr w:rsidR="0011755B" w:rsidRPr="0011755B" w:rsidTr="0011755B">
        <w:trPr>
          <w:jc w:val="center"/>
        </w:trPr>
        <w:tc>
          <w:tcPr>
            <w:tcW w:w="145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第三产业</w:t>
            </w: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交通运输、仓储和邮政业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1.90%</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信息传输、计算机服务和软件业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840</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11.54%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批发和零售业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366</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5.03%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住宿和餐饮业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79</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1.09%</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金融业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房地产业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771</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10.59%</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租赁和商务服务业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608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8.35%</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科学研究、技术服务和地质勘查业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161</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2.21%</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水利、环境和公共设施管理业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126</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居民服务和其他服务业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2.57%</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教育</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438</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6.02%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卫生、社会保障和社会福利业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文化、体育和娱乐业</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140</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公共管理和社会组织</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国际组织</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4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4246</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58.33%</w:t>
            </w:r>
          </w:p>
        </w:tc>
      </w:tr>
      <w:tr w:rsidR="0011755B" w:rsidRPr="0011755B" w:rsidTr="0011755B">
        <w:trPr>
          <w:jc w:val="center"/>
        </w:trPr>
        <w:tc>
          <w:tcPr>
            <w:tcW w:w="556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7279</w:t>
            </w:r>
          </w:p>
        </w:tc>
        <w:tc>
          <w:tcPr>
            <w:tcW w:w="21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100.00%</w:t>
            </w:r>
          </w:p>
        </w:tc>
      </w:tr>
    </w:tbl>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（三）毕业生供需在各行业分布情况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2021年第二季度，在三大产业中第三产业是毕业生供需的主力军，其毕业生求职人数和毕业生需求人数分别为31059人和18139人，占比分别为68.49%和73.97%。</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毕业生供需产业分布情况表如下：</w:t>
      </w:r>
    </w:p>
    <w:tbl>
      <w:tblPr>
        <w:tblW w:w="7933" w:type="dxa"/>
        <w:jc w:val="center"/>
        <w:tblCellMar>
          <w:top w:w="15" w:type="dxa"/>
          <w:left w:w="15" w:type="dxa"/>
          <w:bottom w:w="15" w:type="dxa"/>
          <w:right w:w="15" w:type="dxa"/>
        </w:tblCellMar>
        <w:tblLook w:val="04A0"/>
      </w:tblPr>
      <w:tblGrid>
        <w:gridCol w:w="1358"/>
        <w:gridCol w:w="1614"/>
        <w:gridCol w:w="1704"/>
        <w:gridCol w:w="1704"/>
        <w:gridCol w:w="1553"/>
      </w:tblGrid>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产业</w:t>
            </w:r>
          </w:p>
        </w:tc>
        <w:tc>
          <w:tcPr>
            <w:tcW w:w="16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求职人数</w:t>
            </w:r>
          </w:p>
        </w:tc>
        <w:tc>
          <w:tcPr>
            <w:tcW w:w="16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需求人数</w:t>
            </w:r>
          </w:p>
        </w:tc>
        <w:tc>
          <w:tcPr>
            <w:tcW w:w="16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供应占比</w:t>
            </w:r>
          </w:p>
        </w:tc>
        <w:tc>
          <w:tcPr>
            <w:tcW w:w="154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需求占比</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第一产业</w:t>
            </w:r>
          </w:p>
        </w:tc>
        <w:tc>
          <w:tcPr>
            <w:tcW w:w="16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1137</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457</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2.51%</w:t>
            </w:r>
          </w:p>
        </w:tc>
        <w:tc>
          <w:tcPr>
            <w:tcW w:w="15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1.86%</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第二产业</w:t>
            </w:r>
          </w:p>
        </w:tc>
        <w:tc>
          <w:tcPr>
            <w:tcW w:w="16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13150</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5926</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29.00%</w:t>
            </w:r>
          </w:p>
        </w:tc>
        <w:tc>
          <w:tcPr>
            <w:tcW w:w="15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24.17%</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第三产业</w:t>
            </w:r>
          </w:p>
        </w:tc>
        <w:tc>
          <w:tcPr>
            <w:tcW w:w="16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31059</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18139</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68.49%</w:t>
            </w:r>
          </w:p>
        </w:tc>
        <w:tc>
          <w:tcPr>
            <w:tcW w:w="15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73.97%</w:t>
            </w:r>
          </w:p>
        </w:tc>
      </w:tr>
      <w:tr w:rsidR="0011755B" w:rsidRPr="0011755B" w:rsidTr="0011755B">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6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45346</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24522</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w:t>
            </w:r>
          </w:p>
        </w:tc>
        <w:tc>
          <w:tcPr>
            <w:tcW w:w="15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w:t>
            </w:r>
          </w:p>
        </w:tc>
      </w:tr>
    </w:tbl>
    <w:p w:rsidR="0011755B" w:rsidRPr="0011755B" w:rsidRDefault="0011755B" w:rsidP="0011755B">
      <w:pPr>
        <w:widowControl/>
        <w:shd w:val="clear" w:color="auto" w:fill="FFFFFF"/>
        <w:spacing w:line="376" w:lineRule="atLeast"/>
        <w:ind w:firstLine="60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其中，在毕业生求职方面，建筑业、制造业、教育行业、信息传输/计算机服务和软件业、金融业、租赁和商务服务业等六个行业的毕业生求职人数分列前六位，合计占比为71.35%；而在需求方面，信息传输/计算机服务和软件业、房地产业、制造业、租赁和商务服务业、建筑业及教育行业等六个行业的毕业生需求人数分别位列前六位，合计占比为69.20%。</w:t>
      </w:r>
    </w:p>
    <w:p w:rsidR="0011755B" w:rsidRPr="0011755B" w:rsidRDefault="0011755B" w:rsidP="0011755B">
      <w:pPr>
        <w:widowControl/>
        <w:shd w:val="clear" w:color="auto" w:fill="FFFFFF"/>
        <w:spacing w:line="376" w:lineRule="atLeast"/>
        <w:ind w:firstLine="60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具体行业分布见下表：</w:t>
      </w:r>
    </w:p>
    <w:tbl>
      <w:tblPr>
        <w:tblW w:w="9417" w:type="dxa"/>
        <w:jc w:val="center"/>
        <w:tblCellMar>
          <w:top w:w="15" w:type="dxa"/>
          <w:left w:w="15" w:type="dxa"/>
          <w:bottom w:w="15" w:type="dxa"/>
          <w:right w:w="15" w:type="dxa"/>
        </w:tblCellMar>
        <w:tblLook w:val="04A0"/>
      </w:tblPr>
      <w:tblGrid>
        <w:gridCol w:w="1205"/>
        <w:gridCol w:w="3842"/>
        <w:gridCol w:w="1040"/>
        <w:gridCol w:w="1130"/>
        <w:gridCol w:w="1085"/>
        <w:gridCol w:w="1115"/>
      </w:tblGrid>
      <w:tr w:rsidR="0011755B" w:rsidRPr="0011755B" w:rsidTr="0011755B">
        <w:trPr>
          <w:jc w:val="center"/>
        </w:trPr>
        <w:tc>
          <w:tcPr>
            <w:tcW w:w="120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产业</w:t>
            </w:r>
          </w:p>
        </w:tc>
        <w:tc>
          <w:tcPr>
            <w:tcW w:w="38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行业</w:t>
            </w:r>
          </w:p>
        </w:tc>
        <w:tc>
          <w:tcPr>
            <w:tcW w:w="103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人数</w:t>
            </w:r>
          </w:p>
        </w:tc>
        <w:tc>
          <w:tcPr>
            <w:tcW w:w="11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人数</w:t>
            </w:r>
          </w:p>
        </w:tc>
        <w:tc>
          <w:tcPr>
            <w:tcW w:w="108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占比</w:t>
            </w:r>
          </w:p>
        </w:tc>
        <w:tc>
          <w:tcPr>
            <w:tcW w:w="111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占比</w:t>
            </w:r>
          </w:p>
        </w:tc>
      </w:tr>
      <w:tr w:rsidR="0011755B" w:rsidRPr="0011755B" w:rsidTr="0011755B">
        <w:trPr>
          <w:jc w:val="center"/>
        </w:trPr>
        <w:tc>
          <w:tcPr>
            <w:tcW w:w="120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第一产业</w:t>
            </w: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366</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76</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0.81%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0.31%</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林业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174</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0.38%</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畜牧业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113</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107</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0.25%</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0.44%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渔业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0.04%</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农/林/牧/渔服务业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465</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265</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1.03%</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1.08%</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1137</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457</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2.51%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1.86%</w:t>
            </w:r>
          </w:p>
        </w:tc>
      </w:tr>
      <w:tr w:rsidR="0011755B" w:rsidRPr="0011755B" w:rsidTr="0011755B">
        <w:trPr>
          <w:jc w:val="center"/>
        </w:trPr>
        <w:tc>
          <w:tcPr>
            <w:tcW w:w="120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第二产业</w:t>
            </w: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采矿业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490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486</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1.08%</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1.98%</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制造业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6080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2860</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13.41%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11.66%</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电力/燃气及水的生产和供应业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410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191</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0.90%</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0.78%</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建筑业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6170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2389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13.61%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9.74%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13150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5926</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29.00%</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24.17%</w:t>
            </w:r>
          </w:p>
        </w:tc>
      </w:tr>
      <w:tr w:rsidR="0011755B" w:rsidRPr="0011755B" w:rsidTr="0011755B">
        <w:trPr>
          <w:jc w:val="center"/>
        </w:trPr>
        <w:tc>
          <w:tcPr>
            <w:tcW w:w="120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lastRenderedPageBreak/>
              <w:t>第三产业</w:t>
            </w: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交通运输/仓储和邮政业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1997</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297</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4.40%</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1.21%</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信息传输/计算机服务和软件业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5720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3879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12.61%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15.82%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批发和零售业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892</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1364</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1.97%</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5.56%</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住宿和餐饮业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737</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426</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1.63%</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1.74%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金融业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4286</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1135</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9.45%</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4.63%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房地产业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1300</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3046</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2.87%</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12.42%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租赁和商务服务业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4032</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2829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8.89%</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11.54%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科学研究/技术服务和地质勘查业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252</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354</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0.56%</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1.44%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水利/环境和公共设施管理业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435</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214</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0.96%</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0.87%</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居民服务和其他服务业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1336</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769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2.95%</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3.14%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教育</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6065</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1967</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13.37%</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8.02%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卫生/社会保障和社会福利业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573</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8</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1.26%</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0.03%</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文化/体育和娱乐业</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2606</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1838</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5.75%</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7.50%</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公共管理和社会组织</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774</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13</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1.71%</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0.05%</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国际组织</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54</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0.12%</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小计</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31059</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18139</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68.49%</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73.97%</w:t>
            </w:r>
          </w:p>
        </w:tc>
      </w:tr>
      <w:tr w:rsidR="0011755B" w:rsidRPr="0011755B" w:rsidTr="0011755B">
        <w:trPr>
          <w:jc w:val="center"/>
        </w:trPr>
        <w:tc>
          <w:tcPr>
            <w:tcW w:w="502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45346</w:t>
            </w:r>
          </w:p>
        </w:tc>
        <w:tc>
          <w:tcPr>
            <w:tcW w:w="11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24522</w:t>
            </w:r>
          </w:p>
        </w:tc>
        <w:tc>
          <w:tcPr>
            <w:tcW w:w="1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100.00%</w:t>
            </w:r>
          </w:p>
        </w:tc>
        <w:tc>
          <w:tcPr>
            <w:tcW w:w="111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rPr>
                <w:rFonts w:ascii="宋体" w:eastAsia="宋体" w:hAnsi="宋体" w:cs="宋体"/>
                <w:kern w:val="0"/>
                <w:sz w:val="24"/>
                <w:szCs w:val="24"/>
              </w:rPr>
            </w:pPr>
            <w:r w:rsidRPr="0011755B">
              <w:rPr>
                <w:rFonts w:ascii="宋体" w:eastAsia="宋体" w:hAnsi="宋体" w:cs="宋体" w:hint="eastAsia"/>
                <w:b/>
                <w:bCs/>
                <w:kern w:val="0"/>
                <w:sz w:val="20"/>
                <w:szCs w:val="20"/>
              </w:rPr>
              <w:t>100.00%</w:t>
            </w:r>
          </w:p>
        </w:tc>
      </w:tr>
    </w:tbl>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（四）各行业竞争状况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2021年第二季度，第一产业毕业生供需人数依旧维持在三位数，毕业生合计求职人数为1137人，需求人数为457人，供求比为2.49。</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6750685" cy="3260090"/>
            <wp:effectExtent l="19050" t="0" r="0" b="0"/>
            <wp:docPr id="26" name="图片 26" descr="https://image.gxrc.com/news/images/2021/80ddb267-3056-4b42-94d8-20fc74fe0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gxrc.com/news/images/2021/80ddb267-3056-4b42-94d8-20fc74fe084d.png"/>
                    <pic:cNvPicPr>
                      <a:picLocks noChangeAspect="1" noChangeArrowheads="1"/>
                    </pic:cNvPicPr>
                  </pic:nvPicPr>
                  <pic:blipFill>
                    <a:blip r:embed="rId7" cstate="print"/>
                    <a:srcRect/>
                    <a:stretch>
                      <a:fillRect/>
                    </a:stretch>
                  </pic:blipFill>
                  <pic:spPr bwMode="auto">
                    <a:xfrm>
                      <a:off x="0" y="0"/>
                      <a:ext cx="6750685" cy="326009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2021年第二季度，第二产业的毕业生供求比为2.22，比去年同期的2.15增加0.07，供需依旧主要集中在制造业和建筑业。</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887970" cy="3466465"/>
            <wp:effectExtent l="19050" t="0" r="0" b="0"/>
            <wp:docPr id="27" name="图片 27" descr="https://image.gxrc.com/news/images/2021/677b6d44-95d7-403a-80d0-b25d3be805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gxrc.com/news/images/2021/677b6d44-95d7-403a-80d0-b25d3be805f2.png"/>
                    <pic:cNvPicPr>
                      <a:picLocks noChangeAspect="1" noChangeArrowheads="1"/>
                    </pic:cNvPicPr>
                  </pic:nvPicPr>
                  <pic:blipFill>
                    <a:blip r:embed="rId8" cstate="print"/>
                    <a:srcRect/>
                    <a:stretch>
                      <a:fillRect/>
                    </a:stretch>
                  </pic:blipFill>
                  <pic:spPr bwMode="auto">
                    <a:xfrm>
                      <a:off x="0" y="0"/>
                      <a:ext cx="7887970" cy="3466465"/>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供需主要集中在第三产业，其集中了68.49%的毕业生求职人数和73.97%的毕业生需求人数，供求比为1.85。其中供需总量超过2000人的行业共有10个，信息传输/计算机服务和软件业供需总量继续位居第一位，其供需总量为9599人，供求比为1.47。</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房地产业需求人数为3046人，而求职人数仅为1300，人才缺口为1746人，成为本季度第三产业人才缺口最大的行业类型，其人才缺口主要来源于房地产中介服务行业，人才缺口为1272人，房地产中介服务行业的人才需求为1358人，比去年同期增加了634人，下降的幅度为31.83%。</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8094345" cy="3903980"/>
            <wp:effectExtent l="19050" t="0" r="1905" b="0"/>
            <wp:docPr id="28" name="图片 28" descr="https://image.gxrc.com/news/images/2021/24b8d2e6-a818-4e82-acb9-b798e1035f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gxrc.com/news/images/2021/24b8d2e6-a818-4e82-acb9-b798e1035f65.png"/>
                    <pic:cNvPicPr>
                      <a:picLocks noChangeAspect="1" noChangeArrowheads="1"/>
                    </pic:cNvPicPr>
                  </pic:nvPicPr>
                  <pic:blipFill>
                    <a:blip r:embed="rId9" cstate="print"/>
                    <a:srcRect/>
                    <a:stretch>
                      <a:fillRect/>
                    </a:stretch>
                  </pic:blipFill>
                  <pic:spPr bwMode="auto">
                    <a:xfrm>
                      <a:off x="0" y="0"/>
                      <a:ext cx="8094345" cy="3903980"/>
                    </a:xfrm>
                    <a:prstGeom prst="rect">
                      <a:avLst/>
                    </a:prstGeom>
                    <a:noFill/>
                    <a:ln w="9525">
                      <a:noFill/>
                      <a:miter lim="800000"/>
                      <a:headEnd/>
                      <a:tailEnd/>
                    </a:ln>
                  </pic:spPr>
                </pic:pic>
              </a:graphicData>
            </a:graphic>
          </wp:inline>
        </w:drawing>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jc w:val="left"/>
        <w:rPr>
          <w:rFonts w:ascii="微软雅黑" w:eastAsia="微软雅黑" w:hAnsi="微软雅黑" w:cs="宋体" w:hint="eastAsia"/>
          <w:color w:val="333333"/>
          <w:kern w:val="0"/>
          <w:sz w:val="18"/>
          <w:szCs w:val="18"/>
        </w:rPr>
      </w:pPr>
    </w:p>
    <w:p w:rsidR="0011755B" w:rsidRPr="0011755B" w:rsidRDefault="0011755B" w:rsidP="0011755B">
      <w:pPr>
        <w:widowControl/>
        <w:shd w:val="clear" w:color="auto" w:fill="FFFFFF"/>
        <w:spacing w:line="376" w:lineRule="atLeast"/>
        <w:ind w:firstLine="482"/>
        <w:jc w:val="left"/>
        <w:rPr>
          <w:rFonts w:ascii="宋体" w:eastAsia="宋体" w:hAnsi="宋体" w:cs="宋体" w:hint="eastAsia"/>
          <w:color w:val="333333"/>
          <w:kern w:val="0"/>
          <w:sz w:val="24"/>
          <w:szCs w:val="24"/>
        </w:rPr>
      </w:pPr>
      <w:r w:rsidRPr="0011755B">
        <w:rPr>
          <w:rFonts w:ascii="宋体" w:eastAsia="宋体" w:hAnsi="宋体" w:cs="宋体"/>
          <w:b/>
          <w:bCs/>
          <w:color w:val="333333"/>
          <w:kern w:val="0"/>
          <w:sz w:val="20"/>
          <w:szCs w:val="20"/>
        </w:rPr>
        <w:t>三、职位供需分布特点</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2021年第二季度，广西人才网中毕业生职位总体竞争压力有所缓和，供求比为1.85，与去年同期的2.00相比减少0.15，但与上季度相比增加0.25。</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2021年第二季度主要职位类别高校毕业生供需情况详见附表一。</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lastRenderedPageBreak/>
        <w:t>（一）职位需求特点</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人才需求同比下降，毕业生需求人才数为24522人，与去年同期的27157人相比减少2635人，同比下降9.70%。其中销售类、客服/技术支持类、建筑/工程类职位需求人数位列前三，毕业生总需求人数分别为4005人、1961人、1626人。</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毕业生需求人才数前十名见下图：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164070" cy="4269740"/>
            <wp:effectExtent l="19050" t="0" r="0" b="0"/>
            <wp:docPr id="29" name="图片 29" descr="https://image.gxrc.com/news/images/2021/760fc56b-affe-4020-bab2-82a54836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gxrc.com/news/images/2021/760fc56b-affe-4020-bab2-82a548363404.png"/>
                    <pic:cNvPicPr>
                      <a:picLocks noChangeAspect="1" noChangeArrowheads="1"/>
                    </pic:cNvPicPr>
                  </pic:nvPicPr>
                  <pic:blipFill>
                    <a:blip r:embed="rId10" cstate="print"/>
                    <a:srcRect/>
                    <a:stretch>
                      <a:fillRect/>
                    </a:stretch>
                  </pic:blipFill>
                  <pic:spPr bwMode="auto">
                    <a:xfrm>
                      <a:off x="0" y="0"/>
                      <a:ext cx="7164070" cy="426974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1.客服/技术支持类职位的毕业生需求人数创历史新高</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2021年第二季度，广西人才网中客服/技术支持类的人才需求量为1961人，创历史新高，比去年同期的1029人增加932人，同比增幅为90.57%，是本季度需求人数同比增量排名第一的职位。其中，客服专员/助理（非技术）是该职位大类需求的主要增长点，其需求人数为1427人，比去年同期增加530人，同比增加59.09%。</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drawing>
          <wp:inline distT="0" distB="0" distL="0" distR="0">
            <wp:extent cx="7132320" cy="3204210"/>
            <wp:effectExtent l="19050" t="0" r="0" b="0"/>
            <wp:docPr id="30" name="图片 30" descr="https://image.gxrc.com/news/images/2021/b5ce0215-903e-42ce-8e07-cd54d8454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gxrc.com/news/images/2021/b5ce0215-903e-42ce-8e07-cd54d845429c.png"/>
                    <pic:cNvPicPr>
                      <a:picLocks noChangeAspect="1" noChangeArrowheads="1"/>
                    </pic:cNvPicPr>
                  </pic:nvPicPr>
                  <pic:blipFill>
                    <a:blip r:embed="rId11" cstate="print"/>
                    <a:srcRect/>
                    <a:stretch>
                      <a:fillRect/>
                    </a:stretch>
                  </pic:blipFill>
                  <pic:spPr bwMode="auto">
                    <a:xfrm>
                      <a:off x="0" y="0"/>
                      <a:ext cx="7132320" cy="3204210"/>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2.文教/科研类职位的毕业生需求人数同比大幅度增长</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文教/科研类职位的毕业生人才需求为1190人，与去年同期的557人相比增加663人，同比增长119.03%。其中职业教育/职业培训教师职位人才需求人才需求量为296人，与去年同期相比增长了255人，同比涨幅为621.95%。</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lastRenderedPageBreak/>
        <w:drawing>
          <wp:inline distT="0" distB="0" distL="0" distR="0">
            <wp:extent cx="7140575" cy="3212465"/>
            <wp:effectExtent l="19050" t="0" r="3175" b="0"/>
            <wp:docPr id="31" name="图片 31" descr="https://image.gxrc.com/news/images/2021/3bb822b5-e908-4240-b8e3-ff00f01e2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gxrc.com/news/images/2021/3bb822b5-e908-4240-b8e3-ff00f01e2388.png"/>
                    <pic:cNvPicPr>
                      <a:picLocks noChangeAspect="1" noChangeArrowheads="1"/>
                    </pic:cNvPicPr>
                  </pic:nvPicPr>
                  <pic:blipFill>
                    <a:blip r:embed="rId12" cstate="print"/>
                    <a:srcRect/>
                    <a:stretch>
                      <a:fillRect/>
                    </a:stretch>
                  </pic:blipFill>
                  <pic:spPr bwMode="auto">
                    <a:xfrm>
                      <a:off x="0" y="0"/>
                      <a:ext cx="7140575" cy="3212465"/>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left="480"/>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3.机械/机器设备/仪器仪表类职位人才需求环比锐减，但同比仍增长</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机械/机器设备/仪器仪表类职位人才人才需求量环比锐减，其需求人才数为510人，与上季度相比大幅度下滑51.61%，但与去年同期的409人相比增加101人，同比增幅为24.69%。其中机械/设备工程师是该职位大类人才需求的主要增长点，其人才需求为138人，比去年同期增加60人，同比增长76.92%。</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lastRenderedPageBreak/>
        <w:drawing>
          <wp:inline distT="0" distB="0" distL="0" distR="0">
            <wp:extent cx="7164070" cy="3228340"/>
            <wp:effectExtent l="19050" t="0" r="0" b="0"/>
            <wp:docPr id="32" name="图片 32" descr="https://image.gxrc.com/news/images/2021/ce4d6e6e-1182-41de-9691-c2e3b951f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gxrc.com/news/images/2021/ce4d6e6e-1182-41de-9691-c2e3b951f279.png"/>
                    <pic:cNvPicPr>
                      <a:picLocks noChangeAspect="1" noChangeArrowheads="1"/>
                    </pic:cNvPicPr>
                  </pic:nvPicPr>
                  <pic:blipFill>
                    <a:blip r:embed="rId13" cstate="print"/>
                    <a:srcRect/>
                    <a:stretch>
                      <a:fillRect/>
                    </a:stretch>
                  </pic:blipFill>
                  <pic:spPr bwMode="auto">
                    <a:xfrm>
                      <a:off x="0" y="0"/>
                      <a:ext cx="7164070" cy="3228340"/>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（二）人才供应特点</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总体求职人才数为45346人，与去年同期的54396人相比减少9050人，同比减少16.64%。其中建筑/工程类、文教/科研类、财务/税务/审计/统计类及行政/文职/后勤类职位的毕业生供应人数位居前四，均超过4500人。</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毕业生求职人才数前十名见下图：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140575" cy="4269740"/>
            <wp:effectExtent l="19050" t="0" r="3175" b="0"/>
            <wp:docPr id="33" name="图片 33" descr="https://image.gxrc.com/news/images/2021/996d1a2c-9573-42b2-9d05-bf2198f9c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gxrc.com/news/images/2021/996d1a2c-9573-42b2-9d05-bf2198f9c3f3.png"/>
                    <pic:cNvPicPr>
                      <a:picLocks noChangeAspect="1" noChangeArrowheads="1"/>
                    </pic:cNvPicPr>
                  </pic:nvPicPr>
                  <pic:blipFill>
                    <a:blip r:embed="rId14" cstate="print"/>
                    <a:srcRect/>
                    <a:stretch>
                      <a:fillRect/>
                    </a:stretch>
                  </pic:blipFill>
                  <pic:spPr bwMode="auto">
                    <a:xfrm>
                      <a:off x="0" y="0"/>
                      <a:ext cx="7140575" cy="426974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1.传统管理类职位的毕业生人才供应量持续增长，创历史新高</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传统管理类职位的毕业生人才供应总量持续增长，并创下历史新高，其求职人才数达到11464人，与去年同期相比增长688人，同比增长6.38%。其中财务/税务/审计/统计类与行政/文职/后勤类求职人数同比增长量分别为603人和199人，同比增幅分别为13.95%、4.41%。</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179945" cy="3220085"/>
            <wp:effectExtent l="19050" t="0" r="1905" b="0"/>
            <wp:docPr id="34" name="图片 34" descr="https://image.gxrc.com/news/images/2021/fe2ce9b8-8cf6-4bf8-98bd-e40c980ad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gxrc.com/news/images/2021/fe2ce9b8-8cf6-4bf8-98bd-e40c980ad71d.png"/>
                    <pic:cNvPicPr>
                      <a:picLocks noChangeAspect="1" noChangeArrowheads="1"/>
                    </pic:cNvPicPr>
                  </pic:nvPicPr>
                  <pic:blipFill>
                    <a:blip r:embed="rId15" cstate="print"/>
                    <a:srcRect/>
                    <a:stretch>
                      <a:fillRect/>
                    </a:stretch>
                  </pic:blipFill>
                  <pic:spPr bwMode="auto">
                    <a:xfrm>
                      <a:off x="0" y="0"/>
                      <a:ext cx="7179945" cy="3220085"/>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2.建筑/工程类职位的毕业生求职人数再创历史新高</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建筑/工程类职位毕业生求职人数为5284人，再次创下历史新高，比去年同期的4398人增加886人，同比上涨20.15%。其中，工程造价师/预结算/审计的求职人数为1084人，与去年同期相比增加226人，同比增加26.34%，是建筑/工程类职位毕业生求职人数增长的主要原因。</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164070" cy="3212465"/>
            <wp:effectExtent l="19050" t="0" r="0" b="0"/>
            <wp:docPr id="35" name="图片 35" descr="https://image.gxrc.com/news/images/2021/3841b332-3791-481b-9b08-a558bb2b6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gxrc.com/news/images/2021/3841b332-3791-481b-9b08-a558bb2b6895.png"/>
                    <pic:cNvPicPr>
                      <a:picLocks noChangeAspect="1" noChangeArrowheads="1"/>
                    </pic:cNvPicPr>
                  </pic:nvPicPr>
                  <pic:blipFill>
                    <a:blip r:embed="rId16" cstate="print"/>
                    <a:srcRect/>
                    <a:stretch>
                      <a:fillRect/>
                    </a:stretch>
                  </pic:blipFill>
                  <pic:spPr bwMode="auto">
                    <a:xfrm>
                      <a:off x="0" y="0"/>
                      <a:ext cx="7164070" cy="3212465"/>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3.文教/科研类职位的毕业生求职人数同比下滑明显，环比季节性回升</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 2021年第二季度，广西人才网中文教/科研类职位毕业生求职人数为5086人，比去年同期的减少2026人，同比减少28.49%，成为本季度同比减少量排名第一的职位类型，但环比季节性回升，增幅为12.27%。</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 </w:t>
      </w:r>
      <w:r>
        <w:rPr>
          <w:rFonts w:ascii="宋体" w:eastAsia="宋体" w:hAnsi="宋体" w:cs="宋体"/>
          <w:noProof/>
          <w:color w:val="333333"/>
          <w:kern w:val="0"/>
          <w:sz w:val="20"/>
          <w:szCs w:val="20"/>
        </w:rPr>
        <w:drawing>
          <wp:inline distT="0" distB="0" distL="0" distR="0">
            <wp:extent cx="7132320" cy="3180715"/>
            <wp:effectExtent l="19050" t="0" r="0" b="0"/>
            <wp:docPr id="36" name="图片 36" descr="https://image.gxrc.com/news/images/2021/97262985-0230-42ce-9d2e-b0d8e64eb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gxrc.com/news/images/2021/97262985-0230-42ce-9d2e-b0d8e64eb1b7.png"/>
                    <pic:cNvPicPr>
                      <a:picLocks noChangeAspect="1" noChangeArrowheads="1"/>
                    </pic:cNvPicPr>
                  </pic:nvPicPr>
                  <pic:blipFill>
                    <a:blip r:embed="rId17" cstate="print"/>
                    <a:srcRect/>
                    <a:stretch>
                      <a:fillRect/>
                    </a:stretch>
                  </pic:blipFill>
                  <pic:spPr bwMode="auto">
                    <a:xfrm>
                      <a:off x="0" y="0"/>
                      <a:ext cx="7132320" cy="3180715"/>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（三）毕业生人才供需对比情况</w:t>
      </w:r>
    </w:p>
    <w:p w:rsidR="0011755B" w:rsidRPr="0011755B" w:rsidRDefault="0011755B" w:rsidP="0011755B">
      <w:pPr>
        <w:widowControl/>
        <w:shd w:val="clear" w:color="auto" w:fill="FFFFFF"/>
        <w:spacing w:line="376" w:lineRule="atLeast"/>
        <w:ind w:firstLine="60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1.毕业生需求同比减少，环比增加，各种职位竞争程度冷热不均</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毕业生供求比为1.85，总体竞争压力同比下降，但环比增长，各职位竞争程度冷热不均，结构性矛盾较大。在52个主要职位类别中，有44个职位类别的毕业生供求比大于1，其中有30个职位类别的毕业生供求比大于3，即有超过八成的职位竞争激烈。</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其中，广西人才网中毕业生供求比排名前10位职位类别的毕业生需求人数合计仅为323人，占比仅为1.32%，而毕业生求职人数为6153人，占比为13.57%，合计毕业生供求比为19.05，即超过19个人竞争1个岗位。其中化工类、贸易/进出口类、计算机硬件开发类职位类型的竞争激烈程度位居前三名，由于这三类职位类型的毕业生需求较少，分别仅为13人、18人和14人，这三类职位的毕业生供求比分别为41.23、29.61、26.50。</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另外，在传统管理类职位中，财务/税务/审计/统计类、人力资源/人事类及行政/文职/后勤类这三种职位类型合计毕业生求职人数为11464人，需求人数为2601人，供求比为4.41。其中财务/税务/审计/统计类职位的毕业生供求比为7.81，将近8个人竞争1个岗位，竞争较激烈。</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毕业生供求比前十位见下图：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drawing>
          <wp:inline distT="0" distB="0" distL="0" distR="0">
            <wp:extent cx="7156450" cy="3530600"/>
            <wp:effectExtent l="19050" t="0" r="6350" b="0"/>
            <wp:docPr id="37" name="图片 37" descr="https://image.gxrc.com/news/images/2021/94ba66b3-96c3-450b-bd7b-5268c6bde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gxrc.com/news/images/2021/94ba66b3-96c3-450b-bd7b-5268c6bde4f2.png"/>
                    <pic:cNvPicPr>
                      <a:picLocks noChangeAspect="1" noChangeArrowheads="1"/>
                    </pic:cNvPicPr>
                  </pic:nvPicPr>
                  <pic:blipFill>
                    <a:blip r:embed="rId18" cstate="print"/>
                    <a:srcRect/>
                    <a:stretch>
                      <a:fillRect/>
                    </a:stretch>
                  </pic:blipFill>
                  <pic:spPr bwMode="auto">
                    <a:xfrm>
                      <a:off x="0" y="0"/>
                      <a:ext cx="7156450" cy="353060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2.销售类职位的毕业生供应存在较大缺口</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2021年第二季度，毕业生供求比后十位职位合计毕业生需求人数为8986人，占比为36.64%，而合计毕业生求职人数仅有3594人，占比仅为7.93%，其合计毕业生供求比仅为0.4。销售类职位的毕业生供求比仅为0.18，人才缺口为3283人，是本季度人才缺口最大的职位类型，其人才缺口主要集中在销售代表、推销员/业务员、电话销售员等职位，这三个职位类别的人才缺口分别为1259人、593人和401人。</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毕业生供求比后十位见下图：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drawing>
          <wp:inline distT="0" distB="0" distL="0" distR="0">
            <wp:extent cx="7172325" cy="3569970"/>
            <wp:effectExtent l="19050" t="0" r="9525" b="0"/>
            <wp:docPr id="38" name="图片 38" descr="https://image.gxrc.com/news/images/2021/bb46e57e-97f4-4b2d-bfbe-5bf3c04f2c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gxrc.com/news/images/2021/bb46e57e-97f4-4b2d-bfbe-5bf3c04f2cfb.png"/>
                    <pic:cNvPicPr>
                      <a:picLocks noChangeAspect="1" noChangeArrowheads="1"/>
                    </pic:cNvPicPr>
                  </pic:nvPicPr>
                  <pic:blipFill>
                    <a:blip r:embed="rId19" cstate="print"/>
                    <a:srcRect/>
                    <a:stretch>
                      <a:fillRect/>
                    </a:stretch>
                  </pic:blipFill>
                  <pic:spPr bwMode="auto">
                    <a:xfrm>
                      <a:off x="0" y="0"/>
                      <a:ext cx="7172325" cy="3569970"/>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四、学历分布情况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2021年第二季度，广西人才网毕业生求职人才主要集中在大专和本科学历，其数量占总毕业生求职人数的比例分别为44.90%和52.72%，合计占比为97.62%。</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drawing>
          <wp:inline distT="0" distB="0" distL="0" distR="0">
            <wp:extent cx="5240020" cy="3037205"/>
            <wp:effectExtent l="19050" t="0" r="0" b="0"/>
            <wp:docPr id="39" name="图片 39" descr="https://image.gxrc.com/news/images/2021/c536c7ee-440b-43b2-b9af-e14d110a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gxrc.com/news/images/2021/c536c7ee-440b-43b2-b9af-e14d110a9944.png"/>
                    <pic:cNvPicPr>
                      <a:picLocks noChangeAspect="1" noChangeArrowheads="1"/>
                    </pic:cNvPicPr>
                  </pic:nvPicPr>
                  <pic:blipFill>
                    <a:blip r:embed="rId20" cstate="print"/>
                    <a:srcRect/>
                    <a:stretch>
                      <a:fillRect/>
                    </a:stretch>
                  </pic:blipFill>
                  <pic:spPr bwMode="auto">
                    <a:xfrm>
                      <a:off x="0" y="0"/>
                      <a:ext cx="5240020" cy="3037205"/>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从数据分布可见，用人单位对毕业生的学历要求较高，其中对毕业生的学历要求主要集中在大专学历，占比为82.41%，对学历未提出明确要求的毕业生需求数量占比仅为0.87%。</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5398770" cy="3291840"/>
            <wp:effectExtent l="19050" t="0" r="0" b="0"/>
            <wp:docPr id="40" name="图片 40" descr="https://image.gxrc.com/news/images/2021/0ecc78ff-d3bb-4fc6-8cda-63db59c05b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gxrc.com/news/images/2021/0ecc78ff-d3bb-4fc6-8cda-63db59c05bf5.png"/>
                    <pic:cNvPicPr>
                      <a:picLocks noChangeAspect="1" noChangeArrowheads="1"/>
                    </pic:cNvPicPr>
                  </pic:nvPicPr>
                  <pic:blipFill>
                    <a:blip r:embed="rId21" cstate="print"/>
                    <a:srcRect/>
                    <a:stretch>
                      <a:fillRect/>
                    </a:stretch>
                  </pic:blipFill>
                  <pic:spPr bwMode="auto">
                    <a:xfrm>
                      <a:off x="0" y="0"/>
                      <a:ext cx="5398770" cy="329184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五、专业分布情况</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（一）求职毕业生专业分布</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求职的毕业生专业分布主要集中在管理学、工学、文学、理学和经济学等5个专业类别，这5个专业类别的毕业生求职人数合计为28660人，占比为63.20%，其毕业生求职人数分别为10851人、7922人、3557人、3533人和2797人，占比分别为23.93%、17.47%、7.84%、7.79%和6.17%。</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b/>
          <w:bCs/>
          <w:noProof/>
          <w:color w:val="333333"/>
          <w:kern w:val="0"/>
          <w:sz w:val="20"/>
          <w:szCs w:val="20"/>
        </w:rPr>
        <w:lastRenderedPageBreak/>
        <w:drawing>
          <wp:inline distT="0" distB="0" distL="0" distR="0">
            <wp:extent cx="7458075" cy="4134485"/>
            <wp:effectExtent l="19050" t="0" r="9525" b="0"/>
            <wp:docPr id="41" name="图片 41" descr="https://image.gxrc.com/news/images/2021/d7247686-dc7a-4424-885c-665ea6cf2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gxrc.com/news/images/2021/d7247686-dc7a-4424-885c-665ea6cf21f7.png"/>
                    <pic:cNvPicPr>
                      <a:picLocks noChangeAspect="1" noChangeArrowheads="1"/>
                    </pic:cNvPicPr>
                  </pic:nvPicPr>
                  <pic:blipFill>
                    <a:blip r:embed="rId22" cstate="print"/>
                    <a:srcRect/>
                    <a:stretch>
                      <a:fillRect/>
                    </a:stretch>
                  </pic:blipFill>
                  <pic:spPr bwMode="auto">
                    <a:xfrm>
                      <a:off x="0" y="0"/>
                      <a:ext cx="7458075" cy="4134485"/>
                    </a:xfrm>
                    <a:prstGeom prst="rect">
                      <a:avLst/>
                    </a:prstGeom>
                    <a:noFill/>
                    <a:ln w="9525">
                      <a:noFill/>
                      <a:miter lim="800000"/>
                      <a:headEnd/>
                      <a:tailEnd/>
                    </a:ln>
                  </pic:spPr>
                </pic:pic>
              </a:graphicData>
            </a:graphic>
          </wp:inline>
        </w:drawing>
      </w: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1.管理学专业分布情况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管理学专业的毕业生求职人数合计共有10851人，合计占比为23.93%，其中工商管理类专业的毕业生求职人才占主导，为8108人。具体见下表：</w:t>
      </w:r>
    </w:p>
    <w:tbl>
      <w:tblPr>
        <w:tblW w:w="5671" w:type="dxa"/>
        <w:jc w:val="center"/>
        <w:tblCellMar>
          <w:top w:w="15" w:type="dxa"/>
          <w:left w:w="15" w:type="dxa"/>
          <w:bottom w:w="15" w:type="dxa"/>
          <w:right w:w="15" w:type="dxa"/>
        </w:tblCellMar>
        <w:tblLook w:val="04A0"/>
      </w:tblPr>
      <w:tblGrid>
        <w:gridCol w:w="2467"/>
        <w:gridCol w:w="1775"/>
        <w:gridCol w:w="1429"/>
      </w:tblGrid>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管理学类</w:t>
            </w:r>
          </w:p>
        </w:tc>
        <w:tc>
          <w:tcPr>
            <w:tcW w:w="17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求职人数</w:t>
            </w:r>
          </w:p>
        </w:tc>
        <w:tc>
          <w:tcPr>
            <w:tcW w:w="14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供应占比</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管理科学与工程类</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1505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3.32%</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lastRenderedPageBreak/>
              <w:t>工商管理类</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8108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17.88%</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公共管理类</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1173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2.59%</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农业经济管理类</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0.07%</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图书档案学类</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0.07%</w:t>
            </w:r>
          </w:p>
        </w:tc>
      </w:tr>
      <w:tr w:rsidR="0011755B" w:rsidRPr="0011755B" w:rsidTr="0011755B">
        <w:trPr>
          <w:jc w:val="center"/>
        </w:trPr>
        <w:tc>
          <w:tcPr>
            <w:tcW w:w="24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7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10851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23.93%</w:t>
            </w:r>
          </w:p>
        </w:tc>
      </w:tr>
    </w:tbl>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2.工学专业分布情况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工学专业的毕业生求职人数合计7922人，合计占比17.47%，其中土建类、机械类和电气信息类专业的毕业生求职人数分别为2515人、1598人、1448人。具体见下表：</w:t>
      </w:r>
    </w:p>
    <w:tbl>
      <w:tblPr>
        <w:tblW w:w="5948" w:type="dxa"/>
        <w:jc w:val="center"/>
        <w:tblCellMar>
          <w:top w:w="15" w:type="dxa"/>
          <w:left w:w="15" w:type="dxa"/>
          <w:bottom w:w="15" w:type="dxa"/>
          <w:right w:w="15" w:type="dxa"/>
        </w:tblCellMar>
        <w:tblLook w:val="04A0"/>
      </w:tblPr>
      <w:tblGrid>
        <w:gridCol w:w="2635"/>
        <w:gridCol w:w="1747"/>
        <w:gridCol w:w="1566"/>
      </w:tblGrid>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工学</w:t>
            </w:r>
          </w:p>
        </w:tc>
        <w:tc>
          <w:tcPr>
            <w:tcW w:w="174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求职人数</w:t>
            </w:r>
          </w:p>
        </w:tc>
        <w:tc>
          <w:tcPr>
            <w:tcW w:w="156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供应占比</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地矿类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0.06%</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材料类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150</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0.33%</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机械类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1598</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3.52%</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仪器仪表类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0.09%</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能源动力类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227</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0.50%</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电气信息类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1448</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3.19%</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土建类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2515</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5.55%</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水利类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113</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0.25%</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测绘类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132</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0.29%</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环境与安全类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275</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0.61%</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化工与制药类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303</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0.67%</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交通运输类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379</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0.84%</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海洋工程类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0.04%</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轻工纺织食品类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474</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1.05%</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航空航天类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0.05%</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lastRenderedPageBreak/>
              <w:t>武器类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工程力学类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0.06%</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生物工程类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60</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0.13%</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农业工程类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0.02%</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林业工程类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85</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0.19%</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公安技术类</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0.04%</w:t>
            </w:r>
          </w:p>
        </w:tc>
      </w:tr>
      <w:tr w:rsidR="0011755B" w:rsidRPr="0011755B" w:rsidTr="0011755B">
        <w:trPr>
          <w:jc w:val="center"/>
        </w:trPr>
        <w:tc>
          <w:tcPr>
            <w:tcW w:w="26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74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7922</w:t>
            </w:r>
          </w:p>
        </w:tc>
        <w:tc>
          <w:tcPr>
            <w:tcW w:w="1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17.47%</w:t>
            </w:r>
          </w:p>
        </w:tc>
      </w:tr>
    </w:tbl>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3.文学专业分布情况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文学专业的毕业生求职人数合计3557人，合计占比7.84%。具体见下表：</w:t>
      </w:r>
    </w:p>
    <w:tbl>
      <w:tblPr>
        <w:tblW w:w="5825" w:type="dxa"/>
        <w:jc w:val="center"/>
        <w:tblCellMar>
          <w:top w:w="15" w:type="dxa"/>
          <w:left w:w="15" w:type="dxa"/>
          <w:bottom w:w="15" w:type="dxa"/>
          <w:right w:w="15" w:type="dxa"/>
        </w:tblCellMar>
        <w:tblLook w:val="04A0"/>
      </w:tblPr>
      <w:tblGrid>
        <w:gridCol w:w="2182"/>
        <w:gridCol w:w="1731"/>
        <w:gridCol w:w="1912"/>
      </w:tblGrid>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文学</w:t>
            </w:r>
          </w:p>
        </w:tc>
        <w:tc>
          <w:tcPr>
            <w:tcW w:w="17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求职人数</w:t>
            </w:r>
          </w:p>
        </w:tc>
        <w:tc>
          <w:tcPr>
            <w:tcW w:w="19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供应占比</w:t>
            </w:r>
          </w:p>
        </w:tc>
      </w:tr>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中国语言文学类</w:t>
            </w:r>
          </w:p>
        </w:tc>
        <w:tc>
          <w:tcPr>
            <w:tcW w:w="17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986</w:t>
            </w:r>
          </w:p>
        </w:tc>
        <w:tc>
          <w:tcPr>
            <w:tcW w:w="19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2.17%</w:t>
            </w:r>
          </w:p>
        </w:tc>
      </w:tr>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外国语言文学类</w:t>
            </w:r>
          </w:p>
        </w:tc>
        <w:tc>
          <w:tcPr>
            <w:tcW w:w="17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765</w:t>
            </w:r>
          </w:p>
        </w:tc>
        <w:tc>
          <w:tcPr>
            <w:tcW w:w="19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1.69%</w:t>
            </w:r>
          </w:p>
        </w:tc>
      </w:tr>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新闻传播学类</w:t>
            </w:r>
          </w:p>
        </w:tc>
        <w:tc>
          <w:tcPr>
            <w:tcW w:w="17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534</w:t>
            </w:r>
          </w:p>
        </w:tc>
        <w:tc>
          <w:tcPr>
            <w:tcW w:w="19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1.18%</w:t>
            </w:r>
          </w:p>
        </w:tc>
      </w:tr>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艺术类</w:t>
            </w:r>
          </w:p>
        </w:tc>
        <w:tc>
          <w:tcPr>
            <w:tcW w:w="17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1272</w:t>
            </w:r>
          </w:p>
        </w:tc>
        <w:tc>
          <w:tcPr>
            <w:tcW w:w="19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2.81%</w:t>
            </w:r>
          </w:p>
        </w:tc>
      </w:tr>
      <w:tr w:rsidR="0011755B" w:rsidRPr="0011755B" w:rsidTr="0011755B">
        <w:trPr>
          <w:jc w:val="center"/>
        </w:trPr>
        <w:tc>
          <w:tcPr>
            <w:tcW w:w="21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7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3557</w:t>
            </w:r>
          </w:p>
        </w:tc>
        <w:tc>
          <w:tcPr>
            <w:tcW w:w="19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7.84%</w:t>
            </w:r>
          </w:p>
        </w:tc>
      </w:tr>
    </w:tbl>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4.理学专业分布情况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理学专业的毕业生求职人数合计3533人，合计占比7.79%，电子信息科学类专业是理学类求职毕业生的主要来源。具体见下表：</w:t>
      </w:r>
    </w:p>
    <w:tbl>
      <w:tblPr>
        <w:tblW w:w="5616" w:type="dxa"/>
        <w:jc w:val="center"/>
        <w:tblCellMar>
          <w:top w:w="15" w:type="dxa"/>
          <w:left w:w="15" w:type="dxa"/>
          <w:bottom w:w="15" w:type="dxa"/>
          <w:right w:w="15" w:type="dxa"/>
        </w:tblCellMar>
        <w:tblLook w:val="04A0"/>
      </w:tblPr>
      <w:tblGrid>
        <w:gridCol w:w="2033"/>
        <w:gridCol w:w="1701"/>
        <w:gridCol w:w="1882"/>
      </w:tblGrid>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理学</w:t>
            </w:r>
          </w:p>
        </w:tc>
        <w:tc>
          <w:tcPr>
            <w:tcW w:w="16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求职人数</w:t>
            </w:r>
          </w:p>
        </w:tc>
        <w:tc>
          <w:tcPr>
            <w:tcW w:w="187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供应占比</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数学类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313</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0.69%</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物理学类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93</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0.21%</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化学类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285</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0.63%</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生物科学类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134</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0.30%</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lastRenderedPageBreak/>
              <w:t>天文学类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地质学类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0.01%</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地理科学类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165</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0.36%</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地球物理学类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大气科学类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海洋科学类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0.07%</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力学类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0.01%</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电子信息科学类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2183</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4.81%</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材料科学类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0.06%</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环境科学类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79</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0.17%</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心理学类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83</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0.18%</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统计学类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120</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0.26%</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系统理论类</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0.02%</w:t>
            </w:r>
          </w:p>
        </w:tc>
      </w:tr>
      <w:tr w:rsidR="0011755B" w:rsidRPr="0011755B" w:rsidTr="0011755B">
        <w:trPr>
          <w:jc w:val="center"/>
        </w:trPr>
        <w:tc>
          <w:tcPr>
            <w:tcW w:w="20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合计</w:t>
            </w:r>
          </w:p>
        </w:tc>
        <w:tc>
          <w:tcPr>
            <w:tcW w:w="16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3533</w:t>
            </w:r>
          </w:p>
        </w:tc>
        <w:tc>
          <w:tcPr>
            <w:tcW w:w="18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7.79%</w:t>
            </w:r>
          </w:p>
        </w:tc>
      </w:tr>
    </w:tbl>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注：上表中的专业供应占比指各主要专业求职人数占总求职人数的比例。</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5.其他专业分布情况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在其他专业中，经济学专业的毕业生求职人数较多，为2797人，占比6.17%。</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（二）毕业生需求专业分布</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与毕业生求职分布不同，除了特殊岗位，用人单位对毕业生求职者并不强求专业对口，其中73.61%的岗位对专业没有明确要求，而在有指定专业要求的岗位中，数量较多的是要求工学类和管理学类专业的岗位，这两类专业的毕业生需求人数分别为2462人和1583人，占比分别为10.04%和6.46%。</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具体见下图：</w:t>
      </w:r>
    </w:p>
    <w:p w:rsidR="0011755B" w:rsidRPr="0011755B" w:rsidRDefault="0011755B" w:rsidP="0011755B">
      <w:pPr>
        <w:widowControl/>
        <w:shd w:val="clear" w:color="auto" w:fill="FFFFFF"/>
        <w:spacing w:line="376" w:lineRule="atLeast"/>
        <w:ind w:firstLine="480"/>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extent cx="7195820" cy="3729355"/>
            <wp:effectExtent l="19050" t="0" r="5080" b="0"/>
            <wp:docPr id="42" name="图片 42" descr="https://image.gxrc.com/news/images/2021/de295c1e-66f6-49ca-8288-32ad11fc8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age.gxrc.com/news/images/2021/de295c1e-66f6-49ca-8288-32ad11fc85ce.png"/>
                    <pic:cNvPicPr>
                      <a:picLocks noChangeAspect="1" noChangeArrowheads="1"/>
                    </pic:cNvPicPr>
                  </pic:nvPicPr>
                  <pic:blipFill>
                    <a:blip r:embed="rId23" cstate="print"/>
                    <a:srcRect/>
                    <a:stretch>
                      <a:fillRect/>
                    </a:stretch>
                  </pic:blipFill>
                  <pic:spPr bwMode="auto">
                    <a:xfrm>
                      <a:off x="0" y="0"/>
                      <a:ext cx="7195820" cy="3729355"/>
                    </a:xfrm>
                    <a:prstGeom prst="rect">
                      <a:avLst/>
                    </a:prstGeom>
                    <a:noFill/>
                    <a:ln w="9525">
                      <a:noFill/>
                      <a:miter lim="800000"/>
                      <a:headEnd/>
                      <a:tailEnd/>
                    </a:ln>
                  </pic:spPr>
                </pic:pic>
              </a:graphicData>
            </a:graphic>
          </wp:inline>
        </w:drawing>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六、地区分布情况</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期望在广西区内工作的毕业生求职人数为44190人，占比为97.45%，毕业生需求人数为23650人，占比为96.44%。其中广西人才网中的区内供需主力依旧集中在南宁市，其供需占比分别为68.29%和74.26%，毕业生供求比为1.87。其他城市中毕业生供求比较高的有来宾市、河池市和贵港市，供求比分别为4.78、4.24和3.82。</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ind w:firstLine="480"/>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6217920" cy="2830830"/>
            <wp:effectExtent l="19050" t="0" r="0" b="0"/>
            <wp:docPr id="43" name="图片 43" descr="https://image.gxrc.com/news/images/2021/fa751658-89bd-4300-a014-fc0e644b2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gxrc.com/news/images/2021/fa751658-89bd-4300-a014-fc0e644b2d91.png"/>
                    <pic:cNvPicPr>
                      <a:picLocks noChangeAspect="1" noChangeArrowheads="1"/>
                    </pic:cNvPicPr>
                  </pic:nvPicPr>
                  <pic:blipFill>
                    <a:blip r:embed="rId24" cstate="print"/>
                    <a:srcRect/>
                    <a:stretch>
                      <a:fillRect/>
                    </a:stretch>
                  </pic:blipFill>
                  <pic:spPr bwMode="auto">
                    <a:xfrm>
                      <a:off x="0" y="0"/>
                      <a:ext cx="6217920" cy="283083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jc w:val="left"/>
        <w:rPr>
          <w:rFonts w:ascii="微软雅黑" w:eastAsia="微软雅黑" w:hAnsi="微软雅黑" w:cs="宋体" w:hint="eastAsia"/>
          <w:color w:val="333333"/>
          <w:kern w:val="0"/>
          <w:sz w:val="18"/>
          <w:szCs w:val="18"/>
        </w:rPr>
      </w:pPr>
    </w:p>
    <w:p w:rsidR="0011755B" w:rsidRPr="0011755B" w:rsidRDefault="0011755B" w:rsidP="0011755B">
      <w:pPr>
        <w:widowControl/>
        <w:shd w:val="clear" w:color="auto" w:fill="FFFFFF"/>
        <w:spacing w:line="376" w:lineRule="atLeast"/>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8094345" cy="3943985"/>
            <wp:effectExtent l="19050" t="0" r="1905" b="0"/>
            <wp:docPr id="44" name="图片 44" descr="https://image.gxrc.com/news/images/2021/f0d987c6-5681-4278-b28e-9f4ed05f6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gxrc.com/news/images/2021/f0d987c6-5681-4278-b28e-9f4ed05f6e3f.png"/>
                    <pic:cNvPicPr>
                      <a:picLocks noChangeAspect="1" noChangeArrowheads="1"/>
                    </pic:cNvPicPr>
                  </pic:nvPicPr>
                  <pic:blipFill>
                    <a:blip r:embed="rId25" cstate="print"/>
                    <a:srcRect/>
                    <a:stretch>
                      <a:fillRect/>
                    </a:stretch>
                  </pic:blipFill>
                  <pic:spPr bwMode="auto">
                    <a:xfrm>
                      <a:off x="0" y="0"/>
                      <a:ext cx="8094345" cy="3943985"/>
                    </a:xfrm>
                    <a:prstGeom prst="rect">
                      <a:avLst/>
                    </a:prstGeom>
                    <a:noFill/>
                    <a:ln w="9525">
                      <a:noFill/>
                      <a:miter lim="800000"/>
                      <a:headEnd/>
                      <a:tailEnd/>
                    </a:ln>
                  </pic:spPr>
                </pic:pic>
              </a:graphicData>
            </a:graphic>
          </wp:inline>
        </w:drawing>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七、性别分布</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2021年第二季度，广西人才网中女性仍旧是毕业生求职人才的主力军，占比为63.87%，而男性毕业生求职人数占比为36.13%。</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具体见下图：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 </w:t>
      </w:r>
      <w:r>
        <w:rPr>
          <w:rFonts w:ascii="宋体" w:eastAsia="宋体" w:hAnsi="宋体" w:cs="宋体"/>
          <w:noProof/>
          <w:color w:val="333333"/>
          <w:kern w:val="0"/>
          <w:sz w:val="20"/>
          <w:szCs w:val="20"/>
        </w:rPr>
        <w:drawing>
          <wp:inline distT="0" distB="0" distL="0" distR="0">
            <wp:extent cx="5263515" cy="3450590"/>
            <wp:effectExtent l="19050" t="0" r="0" b="0"/>
            <wp:docPr id="45" name="图片 45" descr="https://image.gxrc.com/news/images/2021/23a6daea-37ad-418b-b3fd-5c121e523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gxrc.com/news/images/2021/23a6daea-37ad-418b-b3fd-5c121e5233fb.png"/>
                    <pic:cNvPicPr>
                      <a:picLocks noChangeAspect="1" noChangeArrowheads="1"/>
                    </pic:cNvPicPr>
                  </pic:nvPicPr>
                  <pic:blipFill>
                    <a:blip r:embed="rId26" cstate="print"/>
                    <a:srcRect/>
                    <a:stretch>
                      <a:fillRect/>
                    </a:stretch>
                  </pic:blipFill>
                  <pic:spPr bwMode="auto">
                    <a:xfrm>
                      <a:off x="0" y="0"/>
                      <a:ext cx="5263515" cy="345059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72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而在需求方面，用人单位对性别要求很低，其提供的岗位中有96.02%的岗位对性别无要求。</w:t>
      </w:r>
    </w:p>
    <w:p w:rsidR="0011755B" w:rsidRPr="0011755B" w:rsidRDefault="0011755B" w:rsidP="0011755B">
      <w:pPr>
        <w:widowControl/>
        <w:shd w:val="clear" w:color="auto" w:fill="FFFFFF"/>
        <w:spacing w:line="376" w:lineRule="atLeast"/>
        <w:ind w:firstLine="480"/>
        <w:jc w:val="center"/>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八、薪酬分析</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本报告薪酬数据来源于广西人才网，经去除重复、不完整以及无效数据、违背国家法律法规的不合理数据，限定单个职位样本量个数（行业惯例为7个）等数据处理方式。在统计指标上，同时采用平均薪酬和分位薪酬统计方式（平均薪酬指的是所属职位类别中薪酬样本的加权平均值，不代表单个职位的实际薪酬，例如行政/文职/后勤类职位平均薪酬为3438元，占比10%的职位薪酬在4893元/月以上；分位薪酬水平显示的是该职位中低于一定比例的薪酬水平，便于</w:t>
      </w:r>
      <w:r w:rsidRPr="0011755B">
        <w:rPr>
          <w:rFonts w:ascii="宋体" w:eastAsia="宋体" w:hAnsi="宋体" w:cs="宋体"/>
          <w:color w:val="333333"/>
          <w:kern w:val="0"/>
          <w:sz w:val="20"/>
          <w:szCs w:val="20"/>
        </w:rPr>
        <w:lastRenderedPageBreak/>
        <w:t>用人单位和求职者对照和定位自身职位薪酬的竞争水平，例如某职位50分位（即中位值）的薪酬水平为5000元/月，即表示该职位中有占比50%的职位薪酬低于5000元/月，下同)。</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（一）职位薪酬</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本季度，广西人才网中应届毕业生职位提供薪酬水平与上季度基本持平，其平均薪酬为4412元/月，比上季度增加3.30%；而职位薪酬的中位值为3867元/月，比上季度减少3.94%。其中交通运输服务是毕业生职位薪酬水平较高的职位类型，其平均薪酬为12794元/月，职位薪酬中位值为9400元/月。</w:t>
      </w:r>
    </w:p>
    <w:p w:rsidR="0011755B" w:rsidRPr="0011755B" w:rsidRDefault="0011755B" w:rsidP="0011755B">
      <w:pPr>
        <w:widowControl/>
        <w:shd w:val="clear" w:color="auto" w:fill="FFFFFF"/>
        <w:spacing w:line="376" w:lineRule="atLeast"/>
        <w:ind w:firstLine="48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广西人才网部分应届毕业生薪酬情况表（单位：元人民币/月）</w:t>
      </w:r>
    </w:p>
    <w:tbl>
      <w:tblPr>
        <w:tblW w:w="0" w:type="auto"/>
        <w:jc w:val="center"/>
        <w:tblCellMar>
          <w:top w:w="15" w:type="dxa"/>
          <w:left w:w="15" w:type="dxa"/>
          <w:bottom w:w="15" w:type="dxa"/>
          <w:right w:w="15" w:type="dxa"/>
        </w:tblCellMar>
        <w:tblLook w:val="04A0"/>
      </w:tblPr>
      <w:tblGrid>
        <w:gridCol w:w="3825"/>
        <w:gridCol w:w="1485"/>
        <w:gridCol w:w="2190"/>
      </w:tblGrid>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职位类别</w:t>
            </w:r>
          </w:p>
        </w:tc>
        <w:tc>
          <w:tcPr>
            <w:tcW w:w="148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平均薪酬</w:t>
            </w:r>
          </w:p>
        </w:tc>
        <w:tc>
          <w:tcPr>
            <w:tcW w:w="219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职位薪酬中位值</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农林渔牧类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5892</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5333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人力资源/人事类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3975</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4147</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行政/文职/后勤类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3438</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3468</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财务/税务/审计/统计类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2895</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2767</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制造业生产管理类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3617</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4296</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市场/营销/策划/推广类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4558</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3958</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销售类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5096</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4471</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客服/技术支持类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4029</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3922</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机械制造类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4480</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4500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互联网产品/运营管理/电子商务类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5394</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4489</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电子/电器制造类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4632</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4100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建筑/工程类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3503</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3135</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房地产开发/经纪/中介类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5748</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4843</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物流/仓储类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3190</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2977</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交通运输服务</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12794</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9400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证券/期货/投资管理/服务类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10203</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5240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lastRenderedPageBreak/>
              <w:t>艺术/设计类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3120</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3229</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百货/超市/零售类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3581</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3470</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餐饮/娱乐类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4352</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3904</w:t>
            </w:r>
          </w:p>
        </w:tc>
      </w:tr>
      <w:tr w:rsidR="0011755B" w:rsidRPr="0011755B" w:rsidTr="0011755B">
        <w:trPr>
          <w:jc w:val="center"/>
        </w:trPr>
        <w:tc>
          <w:tcPr>
            <w:tcW w:w="38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酒店/旅游类</w:t>
            </w:r>
          </w:p>
        </w:tc>
        <w:tc>
          <w:tcPr>
            <w:tcW w:w="148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2958</w:t>
            </w:r>
          </w:p>
        </w:tc>
        <w:tc>
          <w:tcPr>
            <w:tcW w:w="21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2749</w:t>
            </w:r>
          </w:p>
        </w:tc>
      </w:tr>
    </w:tbl>
    <w:p w:rsidR="0011755B" w:rsidRPr="0011755B" w:rsidRDefault="0011755B" w:rsidP="0011755B">
      <w:pPr>
        <w:widowControl/>
        <w:shd w:val="clear" w:color="auto" w:fill="FFFFFF"/>
        <w:spacing w:line="376" w:lineRule="atLeast"/>
        <w:ind w:firstLine="48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本报告所指职位薪酬是广西人才网中用人单位发布职位的税前总体收入水平，包含个人所缴纳的五险一金等内容（即应发工资），其展现的是招聘过程中职位对应的收入水平，主要折算为月薪进行计算，供用人单位和求职者参考使用。</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（二）毕业生期望薪酬</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本季度，广西人才网中应届毕业生期望的平均薪酬为4154元/月，比上季度增加5.27%。期望薪酬中位值为3818元/月，比上季度增加5.22%。其中制造业生产管理类的期望平均薪酬为5474元/月，期望薪酬中位值为4817元/月，成为本季度毕业生期望职位薪酬水平较高的职位类型。</w:t>
      </w:r>
    </w:p>
    <w:p w:rsidR="0011755B" w:rsidRPr="0011755B" w:rsidRDefault="0011755B" w:rsidP="0011755B">
      <w:pPr>
        <w:widowControl/>
        <w:shd w:val="clear" w:color="auto" w:fill="FFFFFF"/>
        <w:spacing w:line="376" w:lineRule="atLeast"/>
        <w:ind w:firstLine="48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广西人才网部分应届毕业生期望薪酬情况表（单位：元人民币/月）</w:t>
      </w:r>
    </w:p>
    <w:tbl>
      <w:tblPr>
        <w:tblW w:w="0" w:type="auto"/>
        <w:jc w:val="center"/>
        <w:tblCellMar>
          <w:top w:w="15" w:type="dxa"/>
          <w:left w:w="15" w:type="dxa"/>
          <w:bottom w:w="15" w:type="dxa"/>
          <w:right w:w="15" w:type="dxa"/>
        </w:tblCellMar>
        <w:tblLook w:val="04A0"/>
      </w:tblPr>
      <w:tblGrid>
        <w:gridCol w:w="4080"/>
        <w:gridCol w:w="1920"/>
        <w:gridCol w:w="2805"/>
      </w:tblGrid>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职位类别</w:t>
            </w:r>
          </w:p>
        </w:tc>
        <w:tc>
          <w:tcPr>
            <w:tcW w:w="192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期望平均薪酬</w:t>
            </w:r>
          </w:p>
        </w:tc>
        <w:tc>
          <w:tcPr>
            <w:tcW w:w="28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职位期望薪酬中位值</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农林渔牧类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4575</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4234</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人力资源/人事类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4147</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3832</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行政/文职/后勤类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3984</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3734</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财务/税务/审计/统计类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3616</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3503</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制造业生产管理类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5474</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4817</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市场/营销/策划/推广类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4617</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4118</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销售类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4482</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3835</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客服/技术支持类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3943</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3691</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机械制造类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4965</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4795</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互联网产品/运营管理/电子商务类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4176</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3820</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电子/电器制造类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4856</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4632</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lastRenderedPageBreak/>
              <w:t>建筑/工程类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3790</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3473</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房地产开发/经纪/中介类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5257</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4125</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物流/仓储类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4271</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4090</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交通运输服务</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4103</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3834</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证券/期货/投资管理/服务类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4247</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3830</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艺术/设计类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3868</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3588</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百货/超市/零售类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3888</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3559</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餐饮/娱乐类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3739</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3530</w:t>
            </w:r>
          </w:p>
        </w:tc>
      </w:tr>
      <w:tr w:rsidR="0011755B" w:rsidRPr="0011755B" w:rsidTr="0011755B">
        <w:trPr>
          <w:jc w:val="center"/>
        </w:trPr>
        <w:tc>
          <w:tcPr>
            <w:tcW w:w="408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酒店/旅游类</w:t>
            </w:r>
          </w:p>
        </w:tc>
        <w:tc>
          <w:tcPr>
            <w:tcW w:w="192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4047</w:t>
            </w:r>
          </w:p>
        </w:tc>
        <w:tc>
          <w:tcPr>
            <w:tcW w:w="28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3757</w:t>
            </w:r>
          </w:p>
        </w:tc>
      </w:tr>
    </w:tbl>
    <w:p w:rsidR="0011755B" w:rsidRPr="0011755B" w:rsidRDefault="0011755B" w:rsidP="0011755B">
      <w:pPr>
        <w:widowControl/>
        <w:shd w:val="clear" w:color="auto" w:fill="FFFFFF"/>
        <w:spacing w:line="376" w:lineRule="atLeast"/>
        <w:ind w:firstLine="48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本报告所指毕业生期望薪酬为广西人才网中求职毕业生期望的税前总体收入水平，包含个人所缴纳的五险一金等内容（即应发工资），其展现的是招聘过程中职位对应的收入水平，主要折算为月薪进行计算，供用人单位和求职者参考使用。</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（三）职位薪酬与毕业生期望薪酬对比</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的薪酬区间分布中，2000-2999元/月薪酬区间求职毕业生占比与上季度相比减少6.01个百分点，而岗位的占比减少1.29个百分点。少于2000元/月薪酬区间求职毕业生占比与上季度相比减少1.68个百分点，而岗位的占比减少4.57个百分点。此外，超过8000元/月薪酬区间求职毕业生占比与上季度相比增加0.01个百分点，而岗位的占比增加了2.54个百分点。见下图：</w:t>
      </w:r>
    </w:p>
    <w:p w:rsidR="0011755B" w:rsidRPr="0011755B" w:rsidRDefault="0011755B" w:rsidP="0011755B">
      <w:pPr>
        <w:widowControl/>
        <w:shd w:val="clear" w:color="auto" w:fill="FFFFFF"/>
        <w:spacing w:line="376" w:lineRule="atLeast"/>
        <w:jc w:val="center"/>
        <w:rPr>
          <w:rFonts w:ascii="宋体" w:eastAsia="宋体" w:hAnsi="宋体" w:cs="宋体"/>
          <w:color w:val="333333"/>
          <w:kern w:val="0"/>
          <w:sz w:val="24"/>
          <w:szCs w:val="24"/>
        </w:rPr>
      </w:pPr>
      <w:r>
        <w:rPr>
          <w:rFonts w:ascii="宋体" w:eastAsia="宋体" w:hAnsi="宋体" w:cs="宋体"/>
          <w:noProof/>
          <w:color w:val="333333"/>
          <w:kern w:val="0"/>
          <w:sz w:val="20"/>
          <w:szCs w:val="20"/>
        </w:rPr>
        <w:lastRenderedPageBreak/>
        <w:drawing>
          <wp:inline distT="0" distB="0" distL="0" distR="0">
            <wp:extent cx="7275195" cy="3903980"/>
            <wp:effectExtent l="19050" t="0" r="1905" b="0"/>
            <wp:docPr id="46" name="图片 46" descr="https://image.gxrc.com/news/images/2021/034e7718-4cd0-440a-b798-93df5cdcd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age.gxrc.com/news/images/2021/034e7718-4cd0-440a-b798-93df5cdcd45a.png"/>
                    <pic:cNvPicPr>
                      <a:picLocks noChangeAspect="1" noChangeArrowheads="1"/>
                    </pic:cNvPicPr>
                  </pic:nvPicPr>
                  <pic:blipFill>
                    <a:blip r:embed="rId27" cstate="print"/>
                    <a:srcRect/>
                    <a:stretch>
                      <a:fillRect/>
                    </a:stretch>
                  </pic:blipFill>
                  <pic:spPr bwMode="auto">
                    <a:xfrm>
                      <a:off x="0" y="0"/>
                      <a:ext cx="7275195" cy="3903980"/>
                    </a:xfrm>
                    <a:prstGeom prst="rect">
                      <a:avLst/>
                    </a:prstGeom>
                    <a:noFill/>
                    <a:ln w="9525">
                      <a:noFill/>
                      <a:miter lim="800000"/>
                      <a:headEnd/>
                      <a:tailEnd/>
                    </a:ln>
                  </pic:spPr>
                </pic:pic>
              </a:graphicData>
            </a:graphic>
          </wp:inline>
        </w:drawing>
      </w: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注：下划线值为毕业生求职人数占比。</w:t>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jc w:val="center"/>
        <w:rPr>
          <w:rFonts w:ascii="宋体" w:eastAsia="宋体" w:hAnsi="宋体" w:cs="宋体" w:hint="eastAsia"/>
          <w:color w:val="333333"/>
          <w:kern w:val="0"/>
          <w:sz w:val="24"/>
          <w:szCs w:val="24"/>
        </w:rPr>
      </w:pPr>
      <w:r>
        <w:rPr>
          <w:rFonts w:ascii="宋体" w:eastAsia="宋体" w:hAnsi="宋体" w:cs="宋体"/>
          <w:noProof/>
          <w:color w:val="333333"/>
          <w:kern w:val="0"/>
          <w:sz w:val="24"/>
          <w:szCs w:val="24"/>
        </w:rPr>
        <w:lastRenderedPageBreak/>
        <w:drawing>
          <wp:inline distT="0" distB="0" distL="0" distR="0">
            <wp:extent cx="8094345" cy="3180715"/>
            <wp:effectExtent l="19050" t="0" r="1905" b="0"/>
            <wp:docPr id="47" name="图片 47" descr="https://image.gxrc.com/news/images/2021/0b01f946-cadc-485e-bf59-c81d8b8f8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gxrc.com/news/images/2021/0b01f946-cadc-485e-bf59-c81d8b8f822f.png"/>
                    <pic:cNvPicPr>
                      <a:picLocks noChangeAspect="1" noChangeArrowheads="1"/>
                    </pic:cNvPicPr>
                  </pic:nvPicPr>
                  <pic:blipFill>
                    <a:blip r:embed="rId28" cstate="print"/>
                    <a:srcRect/>
                    <a:stretch>
                      <a:fillRect/>
                    </a:stretch>
                  </pic:blipFill>
                  <pic:spPr bwMode="auto">
                    <a:xfrm>
                      <a:off x="0" y="0"/>
                      <a:ext cx="8094345" cy="3180715"/>
                    </a:xfrm>
                    <a:prstGeom prst="rect">
                      <a:avLst/>
                    </a:prstGeom>
                    <a:noFill/>
                    <a:ln w="9525">
                      <a:noFill/>
                      <a:miter lim="800000"/>
                      <a:headEnd/>
                      <a:tailEnd/>
                    </a:ln>
                  </pic:spPr>
                </pic:pic>
              </a:graphicData>
            </a:graphic>
          </wp:inline>
        </w:drawing>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注：下划线数值为毕业生平均薪酬。</w:t>
      </w:r>
    </w:p>
    <w:p w:rsidR="0011755B" w:rsidRPr="0011755B" w:rsidRDefault="0011755B" w:rsidP="0011755B">
      <w:pPr>
        <w:widowControl/>
        <w:shd w:val="clear" w:color="auto" w:fill="FFFFFF"/>
        <w:spacing w:line="376" w:lineRule="atLeast"/>
        <w:ind w:firstLine="480"/>
        <w:jc w:val="center"/>
        <w:rPr>
          <w:rFonts w:ascii="宋体" w:eastAsia="宋体" w:hAnsi="宋体" w:cs="宋体"/>
          <w:color w:val="333333"/>
          <w:kern w:val="0"/>
          <w:sz w:val="24"/>
          <w:szCs w:val="24"/>
        </w:rPr>
      </w:pPr>
      <w:r w:rsidRPr="0011755B">
        <w:rPr>
          <w:rFonts w:ascii="宋体" w:eastAsia="宋体" w:hAnsi="宋体" w:cs="宋体"/>
          <w:color w:val="333333"/>
          <w:kern w:val="0"/>
          <w:sz w:val="20"/>
          <w:szCs w:val="20"/>
        </w:rPr>
        <w:lastRenderedPageBreak/>
        <w:t> </w:t>
      </w:r>
      <w:r>
        <w:rPr>
          <w:rFonts w:ascii="宋体" w:eastAsia="宋体" w:hAnsi="宋体" w:cs="宋体"/>
          <w:noProof/>
          <w:color w:val="333333"/>
          <w:kern w:val="0"/>
          <w:sz w:val="20"/>
          <w:szCs w:val="20"/>
        </w:rPr>
        <w:drawing>
          <wp:inline distT="0" distB="0" distL="0" distR="0">
            <wp:extent cx="8094345" cy="3283585"/>
            <wp:effectExtent l="19050" t="0" r="1905" b="0"/>
            <wp:docPr id="48" name="图片 48" descr="https://image.gxrc.com/news/images/2021/016dc6ec-6e1c-406e-9785-d6847ccfce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age.gxrc.com/news/images/2021/016dc6ec-6e1c-406e-9785-d6847ccfce0b.png"/>
                    <pic:cNvPicPr>
                      <a:picLocks noChangeAspect="1" noChangeArrowheads="1"/>
                    </pic:cNvPicPr>
                  </pic:nvPicPr>
                  <pic:blipFill>
                    <a:blip r:embed="rId29" cstate="print"/>
                    <a:srcRect/>
                    <a:stretch>
                      <a:fillRect/>
                    </a:stretch>
                  </pic:blipFill>
                  <pic:spPr bwMode="auto">
                    <a:xfrm>
                      <a:off x="0" y="0"/>
                      <a:ext cx="8094345" cy="3283585"/>
                    </a:xfrm>
                    <a:prstGeom prst="rect">
                      <a:avLst/>
                    </a:prstGeom>
                    <a:noFill/>
                    <a:ln w="9525">
                      <a:noFill/>
                      <a:miter lim="800000"/>
                      <a:headEnd/>
                      <a:tailEnd/>
                    </a:ln>
                  </pic:spPr>
                </pic:pic>
              </a:graphicData>
            </a:graphic>
          </wp:inline>
        </w:drawing>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注：下划线数值为毕业生职位薪酬中位值。</w:t>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ind w:firstLine="482"/>
        <w:jc w:val="left"/>
        <w:rPr>
          <w:rFonts w:ascii="宋体" w:eastAsia="宋体" w:hAnsi="宋体" w:cs="宋体" w:hint="eastAsia"/>
          <w:color w:val="333333"/>
          <w:kern w:val="0"/>
          <w:sz w:val="24"/>
          <w:szCs w:val="24"/>
        </w:rPr>
      </w:pPr>
      <w:r w:rsidRPr="0011755B">
        <w:rPr>
          <w:rFonts w:ascii="宋体" w:eastAsia="宋体" w:hAnsi="宋体" w:cs="宋体"/>
          <w:b/>
          <w:bCs/>
          <w:color w:val="333333"/>
          <w:kern w:val="0"/>
          <w:sz w:val="20"/>
          <w:szCs w:val="20"/>
        </w:rPr>
        <w:t>（四）部分具体职位薪酬参考</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2021年第二季度广西人才网部分毕业生具体职位薪酬见下表：</w:t>
      </w:r>
    </w:p>
    <w:p w:rsidR="0011755B" w:rsidRPr="0011755B" w:rsidRDefault="0011755B" w:rsidP="0011755B">
      <w:pPr>
        <w:widowControl/>
        <w:shd w:val="clear" w:color="auto" w:fill="FFFFFF"/>
        <w:spacing w:line="376" w:lineRule="atLeast"/>
        <w:ind w:firstLine="48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2021年二季度广西人才网部分毕业生部分具体职位薪酬参考（元/月）</w:t>
      </w:r>
    </w:p>
    <w:tbl>
      <w:tblPr>
        <w:tblW w:w="10541" w:type="dxa"/>
        <w:jc w:val="center"/>
        <w:tblCellMar>
          <w:top w:w="15" w:type="dxa"/>
          <w:left w:w="15" w:type="dxa"/>
          <w:bottom w:w="15" w:type="dxa"/>
          <w:right w:w="15" w:type="dxa"/>
        </w:tblCellMar>
        <w:tblLook w:val="04A0"/>
      </w:tblPr>
      <w:tblGrid>
        <w:gridCol w:w="2751"/>
        <w:gridCol w:w="2872"/>
        <w:gridCol w:w="962"/>
        <w:gridCol w:w="797"/>
        <w:gridCol w:w="1038"/>
        <w:gridCol w:w="1068"/>
        <w:gridCol w:w="1053"/>
      </w:tblGrid>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职位大类</w:t>
            </w:r>
          </w:p>
        </w:tc>
        <w:tc>
          <w:tcPr>
            <w:tcW w:w="286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具体职位</w:t>
            </w:r>
          </w:p>
        </w:tc>
        <w:tc>
          <w:tcPr>
            <w:tcW w:w="96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工作地</w:t>
            </w:r>
          </w:p>
        </w:tc>
        <w:tc>
          <w:tcPr>
            <w:tcW w:w="7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平均薪酬</w:t>
            </w:r>
          </w:p>
        </w:tc>
        <w:tc>
          <w:tcPr>
            <w:tcW w:w="103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中位值</w:t>
            </w:r>
          </w:p>
        </w:tc>
        <w:tc>
          <w:tcPr>
            <w:tcW w:w="106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75分位</w:t>
            </w:r>
          </w:p>
        </w:tc>
        <w:tc>
          <w:tcPr>
            <w:tcW w:w="105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90分位</w:t>
            </w:r>
          </w:p>
        </w:tc>
      </w:tr>
      <w:tr w:rsidR="0011755B" w:rsidRPr="0011755B" w:rsidTr="0011755B">
        <w:trPr>
          <w:jc w:val="center"/>
        </w:trPr>
        <w:tc>
          <w:tcPr>
            <w:tcW w:w="274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销售类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销售助理</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4210</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3531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5038</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6399</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客户经理</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6246</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5424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8616</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9445</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推销员/业务员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4422</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3807</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5322</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7145</w:t>
            </w:r>
          </w:p>
        </w:tc>
      </w:tr>
      <w:tr w:rsidR="0011755B" w:rsidRPr="0011755B" w:rsidTr="0011755B">
        <w:trPr>
          <w:jc w:val="center"/>
        </w:trPr>
        <w:tc>
          <w:tcPr>
            <w:tcW w:w="274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rPr>
              <w:t>市场/营销/策划/推广类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市场/营销专员/助理</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4730</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4272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6272</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8439</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市场推广专员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5213</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5371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6656</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7976</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rPr>
              <w:t>客服/技术支持类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客服专员/助理（非技术）</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3779</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3798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4453</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4868</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rPr>
              <w:t>人力资源/人事类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人力资源/人事专员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4057</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4232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4656</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4911</w:t>
            </w:r>
          </w:p>
        </w:tc>
      </w:tr>
      <w:tr w:rsidR="0011755B" w:rsidRPr="0011755B" w:rsidTr="0011755B">
        <w:trPr>
          <w:jc w:val="center"/>
        </w:trPr>
        <w:tc>
          <w:tcPr>
            <w:tcW w:w="274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rPr>
              <w:t>行政/文职/后勤类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行政专员/助理</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3698</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3575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4163</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4872</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经理助理/秘书/高级文员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3655</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3333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5199</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5679</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文员/打字员/电脑操作员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3492</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3624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4338</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4831</w:t>
            </w:r>
          </w:p>
        </w:tc>
      </w:tr>
      <w:tr w:rsidR="0011755B" w:rsidRPr="0011755B" w:rsidTr="0011755B">
        <w:trPr>
          <w:jc w:val="center"/>
        </w:trPr>
        <w:tc>
          <w:tcPr>
            <w:tcW w:w="274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rPr>
              <w:t>财务/税务/审计/统计类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rPr>
              <w:t>会计师/会计</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2263</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2161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3066</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4244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出纳</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2954</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2999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3610</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3976</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运营管理/电子商务类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网站运营专员/助理</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5443</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4333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5299</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12299</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kern w:val="0"/>
                <w:sz w:val="20"/>
                <w:szCs w:val="20"/>
              </w:rPr>
              <w:t>建筑/工程类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施工员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2935</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2658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3617</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5132</w:t>
            </w:r>
          </w:p>
        </w:tc>
      </w:tr>
      <w:tr w:rsidR="0011755B" w:rsidRPr="0011755B" w:rsidTr="0011755B">
        <w:trPr>
          <w:jc w:val="center"/>
        </w:trPr>
        <w:tc>
          <w:tcPr>
            <w:tcW w:w="2745"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房地产/中介类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房地产中介/交易</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5304</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4582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4924</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8974</w:t>
            </w:r>
          </w:p>
        </w:tc>
      </w:tr>
      <w:tr w:rsidR="0011755B" w:rsidRPr="0011755B" w:rsidTr="001175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1755B" w:rsidRPr="0011755B" w:rsidRDefault="0011755B" w:rsidP="0011755B">
            <w:pPr>
              <w:widowControl/>
              <w:jc w:val="left"/>
              <w:rPr>
                <w:rFonts w:ascii="宋体" w:eastAsia="宋体" w:hAnsi="宋体" w:cs="宋体"/>
                <w:kern w:val="0"/>
                <w:sz w:val="24"/>
                <w:szCs w:val="24"/>
              </w:rPr>
            </w:pP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置业顾问</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6540</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6863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7506</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7892</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设计类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平面设计</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3340</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3285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4999</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6533</w:t>
            </w:r>
          </w:p>
        </w:tc>
      </w:tr>
      <w:tr w:rsidR="0011755B" w:rsidRPr="0011755B" w:rsidTr="0011755B">
        <w:trPr>
          <w:jc w:val="center"/>
        </w:trPr>
        <w:tc>
          <w:tcPr>
            <w:tcW w:w="274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电子/电器类</w:t>
            </w:r>
          </w:p>
        </w:tc>
        <w:tc>
          <w:tcPr>
            <w:tcW w:w="28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自动控制工程师/技术员</w:t>
            </w:r>
          </w:p>
        </w:tc>
        <w:tc>
          <w:tcPr>
            <w:tcW w:w="9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center"/>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南宁市</w:t>
            </w:r>
          </w:p>
        </w:tc>
        <w:tc>
          <w:tcPr>
            <w:tcW w:w="7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5356</w:t>
            </w:r>
          </w:p>
        </w:tc>
        <w:tc>
          <w:tcPr>
            <w:tcW w:w="103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5416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5707</w:t>
            </w:r>
          </w:p>
        </w:tc>
        <w:tc>
          <w:tcPr>
            <w:tcW w:w="10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5882</w:t>
            </w:r>
          </w:p>
        </w:tc>
      </w:tr>
    </w:tbl>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0"/>
        <w:jc w:val="right"/>
        <w:rPr>
          <w:rFonts w:ascii="宋体" w:eastAsia="宋体" w:hAnsi="宋体" w:cs="宋体"/>
          <w:color w:val="333333"/>
          <w:kern w:val="0"/>
          <w:sz w:val="24"/>
          <w:szCs w:val="24"/>
        </w:rPr>
      </w:pPr>
      <w:r w:rsidRPr="0011755B">
        <w:rPr>
          <w:rFonts w:ascii="宋体" w:eastAsia="宋体" w:hAnsi="宋体" w:cs="宋体"/>
          <w:color w:val="333333"/>
          <w:kern w:val="0"/>
          <w:sz w:val="20"/>
          <w:szCs w:val="20"/>
        </w:rPr>
        <w:t>广西壮族自治区人才服务中心</w:t>
      </w:r>
    </w:p>
    <w:p w:rsidR="0011755B" w:rsidRPr="0011755B" w:rsidRDefault="0011755B" w:rsidP="0011755B">
      <w:pPr>
        <w:widowControl/>
        <w:shd w:val="clear" w:color="auto" w:fill="FFFFFF"/>
        <w:spacing w:line="376" w:lineRule="atLeast"/>
        <w:ind w:firstLine="480"/>
        <w:jc w:val="right"/>
        <w:rPr>
          <w:rFonts w:ascii="宋体" w:eastAsia="宋体" w:hAnsi="宋体" w:cs="宋体"/>
          <w:color w:val="333333"/>
          <w:kern w:val="0"/>
          <w:sz w:val="24"/>
          <w:szCs w:val="24"/>
        </w:rPr>
      </w:pPr>
      <w:r w:rsidRPr="0011755B">
        <w:rPr>
          <w:rFonts w:ascii="宋体" w:eastAsia="宋体" w:hAnsi="宋体" w:cs="宋体"/>
          <w:color w:val="333333"/>
          <w:kern w:val="0"/>
          <w:sz w:val="20"/>
          <w:szCs w:val="20"/>
        </w:rPr>
        <w:t>2021年7月19日</w:t>
      </w:r>
    </w:p>
    <w:p w:rsidR="0011755B" w:rsidRPr="0011755B" w:rsidRDefault="0011755B" w:rsidP="0011755B">
      <w:pPr>
        <w:widowControl/>
        <w:shd w:val="clear" w:color="auto" w:fill="FFFFFF"/>
        <w:spacing w:line="376" w:lineRule="atLeast"/>
        <w:ind w:firstLine="480"/>
        <w:jc w:val="right"/>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lastRenderedPageBreak/>
        <w:t>注1：</w:t>
      </w:r>
      <w:r w:rsidRPr="0011755B">
        <w:rPr>
          <w:rFonts w:ascii="宋体" w:eastAsia="宋体" w:hAnsi="宋体" w:cs="宋体"/>
          <w:color w:val="333333"/>
          <w:kern w:val="0"/>
          <w:sz w:val="20"/>
          <w:szCs w:val="20"/>
        </w:rPr>
        <w:t>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注2：</w:t>
      </w:r>
      <w:r w:rsidRPr="0011755B">
        <w:rPr>
          <w:rFonts w:ascii="宋体" w:eastAsia="宋体" w:hAnsi="宋体" w:cs="宋体"/>
          <w:color w:val="333333"/>
          <w:kern w:val="0"/>
          <w:sz w:val="20"/>
          <w:szCs w:val="20"/>
        </w:rPr>
        <w:t>本报告所指薪酬是广西人才网中用人单位发布毕业生职位或毕业生求职者期望的税前总体收入水平，包含个人所缴纳的五险一金等内容（即应发工资），其展现的是招聘过程中职位对应的收入水平，主要折算为月薪进行计算，供用人单位和毕业生求职者参考使用。</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注3：</w:t>
      </w:r>
      <w:r w:rsidRPr="0011755B">
        <w:rPr>
          <w:rFonts w:ascii="宋体" w:eastAsia="宋体" w:hAnsi="宋体" w:cs="宋体"/>
          <w:color w:val="333333"/>
          <w:kern w:val="0"/>
          <w:sz w:val="20"/>
          <w:szCs w:val="20"/>
        </w:rPr>
        <w:t>本报告数据来源于广西人才网，经去除重复、不完整以及无效数据、违背国家法律法规的不合理数据，限定单个职位样本量个数（单个职位薪酬数据限定为至少25个样本，低于25个样本的职位薪酬数据不予统计，行业惯例为7个）等数据处理方式，确定2021年第二季度将近2万个符合要求的职位薪酬数据信息作为统计样本。在统计指标上，同时采用平均薪酬和分位薪酬统计方式。</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注4：职位平均薪酬</w:t>
      </w:r>
      <w:r w:rsidRPr="0011755B">
        <w:rPr>
          <w:rFonts w:ascii="宋体" w:eastAsia="宋体" w:hAnsi="宋体" w:cs="宋体"/>
          <w:color w:val="333333"/>
          <w:kern w:val="0"/>
          <w:sz w:val="20"/>
          <w:szCs w:val="20"/>
        </w:rPr>
        <w:t>指的是所属职位类别中用人单位发布职位的薪酬样本加权平均值，不代表单个职位的实际薪酬。</w:t>
      </w:r>
      <w:r w:rsidRPr="0011755B">
        <w:rPr>
          <w:rFonts w:ascii="宋体" w:eastAsia="宋体" w:hAnsi="宋体" w:cs="宋体"/>
          <w:b/>
          <w:bCs/>
          <w:color w:val="333333"/>
          <w:kern w:val="0"/>
          <w:sz w:val="20"/>
          <w:szCs w:val="20"/>
        </w:rPr>
        <w:t>期望平均薪酬</w:t>
      </w:r>
      <w:r w:rsidRPr="0011755B">
        <w:rPr>
          <w:rFonts w:ascii="宋体" w:eastAsia="宋体" w:hAnsi="宋体" w:cs="宋体"/>
          <w:color w:val="333333"/>
          <w:kern w:val="0"/>
          <w:sz w:val="20"/>
          <w:szCs w:val="20"/>
        </w:rPr>
        <w:t>指的是求职者期望从事职位类别的薪酬样本加权平均值。</w:t>
      </w:r>
    </w:p>
    <w:p w:rsidR="0011755B" w:rsidRPr="0011755B" w:rsidRDefault="0011755B" w:rsidP="0011755B">
      <w:pPr>
        <w:widowControl/>
        <w:shd w:val="clear" w:color="auto" w:fill="FFFFFF"/>
        <w:spacing w:line="376" w:lineRule="atLeast"/>
        <w:ind w:firstLine="482"/>
        <w:jc w:val="left"/>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注5：分位薪酬</w:t>
      </w:r>
      <w:r w:rsidRPr="0011755B">
        <w:rPr>
          <w:rFonts w:ascii="宋体" w:eastAsia="宋体" w:hAnsi="宋体" w:cs="宋体"/>
          <w:color w:val="333333"/>
          <w:kern w:val="0"/>
          <w:sz w:val="20"/>
          <w:szCs w:val="20"/>
        </w:rPr>
        <w:t>水平显示的是该职位中低于一定比例的薪酬水平，便于用人单位和求职者对照和定位自身职位薪酬的竞争水平等级，其中90分位代表高端、75分位代表中高端、中位值（即50分位）代表中端、25分位代表中低端、10分位代表低端。例如某职位75分位的薪酬水平为5000元/月，即表示该职位中有占比75%的职位薪酬低于5000元/月，而5000元/月也代表了该职位薪酬的市场中高端水平。</w:t>
      </w:r>
    </w:p>
    <w:p w:rsidR="0011755B" w:rsidRPr="0011755B" w:rsidRDefault="0011755B" w:rsidP="0011755B">
      <w:pPr>
        <w:widowControl/>
        <w:shd w:val="clear" w:color="auto" w:fill="FFFFFF"/>
        <w:spacing w:line="376" w:lineRule="atLeast"/>
        <w:jc w:val="left"/>
        <w:rPr>
          <w:rFonts w:ascii="微软雅黑" w:eastAsia="微软雅黑" w:hAnsi="微软雅黑" w:cs="宋体"/>
          <w:color w:val="333333"/>
          <w:kern w:val="0"/>
          <w:sz w:val="18"/>
          <w:szCs w:val="18"/>
        </w:rPr>
      </w:pPr>
    </w:p>
    <w:p w:rsidR="0011755B" w:rsidRPr="0011755B" w:rsidRDefault="0011755B" w:rsidP="0011755B">
      <w:pPr>
        <w:widowControl/>
        <w:shd w:val="clear" w:color="auto" w:fill="FFFFFF"/>
        <w:spacing w:line="376" w:lineRule="atLeast"/>
        <w:ind w:firstLine="643"/>
        <w:jc w:val="left"/>
        <w:rPr>
          <w:rFonts w:ascii="宋体" w:eastAsia="宋体" w:hAnsi="宋体" w:cs="宋体" w:hint="eastAsia"/>
          <w:color w:val="333333"/>
          <w:kern w:val="0"/>
          <w:sz w:val="24"/>
          <w:szCs w:val="24"/>
        </w:rPr>
      </w:pPr>
      <w:r w:rsidRPr="0011755B">
        <w:rPr>
          <w:rFonts w:ascii="宋体" w:eastAsia="宋体" w:hAnsi="宋体" w:cs="宋体"/>
          <w:b/>
          <w:bCs/>
          <w:color w:val="333333"/>
          <w:kern w:val="0"/>
          <w:sz w:val="20"/>
          <w:szCs w:val="20"/>
        </w:rPr>
        <w:t>附表一：</w:t>
      </w:r>
    </w:p>
    <w:p w:rsidR="0011755B" w:rsidRPr="0011755B" w:rsidRDefault="0011755B" w:rsidP="0011755B">
      <w:pPr>
        <w:widowControl/>
        <w:shd w:val="clear" w:color="auto" w:fill="FFFFFF"/>
        <w:spacing w:line="376" w:lineRule="atLeast"/>
        <w:ind w:firstLine="602"/>
        <w:jc w:val="center"/>
        <w:rPr>
          <w:rFonts w:ascii="宋体" w:eastAsia="宋体" w:hAnsi="宋体" w:cs="宋体"/>
          <w:color w:val="333333"/>
          <w:kern w:val="0"/>
          <w:sz w:val="24"/>
          <w:szCs w:val="24"/>
        </w:rPr>
      </w:pPr>
      <w:r w:rsidRPr="0011755B">
        <w:rPr>
          <w:rFonts w:ascii="宋体" w:eastAsia="宋体" w:hAnsi="宋体" w:cs="宋体"/>
          <w:b/>
          <w:bCs/>
          <w:color w:val="333333"/>
          <w:kern w:val="0"/>
          <w:sz w:val="20"/>
          <w:szCs w:val="20"/>
        </w:rPr>
        <w:t>2021年第二季度主要职位类别高校毕业生供需情况</w:t>
      </w:r>
    </w:p>
    <w:tbl>
      <w:tblPr>
        <w:tblW w:w="9927" w:type="dxa"/>
        <w:jc w:val="center"/>
        <w:tblCellMar>
          <w:top w:w="15" w:type="dxa"/>
          <w:left w:w="15" w:type="dxa"/>
          <w:bottom w:w="15" w:type="dxa"/>
          <w:right w:w="15" w:type="dxa"/>
        </w:tblCellMar>
        <w:tblLook w:val="04A0"/>
      </w:tblPr>
      <w:tblGrid>
        <w:gridCol w:w="3720"/>
        <w:gridCol w:w="1070"/>
        <w:gridCol w:w="1431"/>
        <w:gridCol w:w="1175"/>
        <w:gridCol w:w="1431"/>
        <w:gridCol w:w="1100"/>
      </w:tblGrid>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类型</w:t>
            </w:r>
          </w:p>
        </w:tc>
        <w:tc>
          <w:tcPr>
            <w:tcW w:w="106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人数</w:t>
            </w:r>
          </w:p>
        </w:tc>
        <w:tc>
          <w:tcPr>
            <w:tcW w:w="14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求职</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同比涨幅</w:t>
            </w:r>
          </w:p>
        </w:tc>
        <w:tc>
          <w:tcPr>
            <w:tcW w:w="11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人数</w:t>
            </w:r>
          </w:p>
        </w:tc>
        <w:tc>
          <w:tcPr>
            <w:tcW w:w="142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需求</w:t>
            </w:r>
          </w:p>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同比涨幅</w:t>
            </w:r>
          </w:p>
        </w:tc>
        <w:tc>
          <w:tcPr>
            <w:tcW w:w="109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11755B" w:rsidRPr="0011755B" w:rsidRDefault="0011755B" w:rsidP="0011755B">
            <w:pPr>
              <w:widowControl/>
              <w:jc w:val="center"/>
              <w:rPr>
                <w:rFonts w:ascii="宋体" w:eastAsia="宋体" w:hAnsi="宋体" w:cs="宋体"/>
                <w:kern w:val="0"/>
                <w:sz w:val="24"/>
                <w:szCs w:val="24"/>
              </w:rPr>
            </w:pPr>
            <w:r w:rsidRPr="0011755B">
              <w:rPr>
                <w:rFonts w:ascii="宋体" w:eastAsia="宋体" w:hAnsi="宋体" w:cs="宋体" w:hint="eastAsia"/>
                <w:b/>
                <w:bCs/>
                <w:kern w:val="0"/>
                <w:sz w:val="20"/>
                <w:szCs w:val="20"/>
              </w:rPr>
              <w:t>供求比</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农林渔牧类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-6.64%</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-82.73%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5.92</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高级管理类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11.41%</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-36.60%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人力资源/人事类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1831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652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11.26%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行政/文职/后勤类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4708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4.41%</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1318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39.32%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3.57</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lastRenderedPageBreak/>
              <w:t>财务/税务/审计/统计类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4925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13.95%</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631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70.54%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7.81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生产制造/工厂管理类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-12.38%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121.51%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0.91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质量保证/品质管理类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24.16%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-23.53%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采购类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37.19%</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50.00%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市场/营销/策划/推广类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901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-12.52%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896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-58.21%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销售类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-19.42%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4005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-32.20%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0.18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客服/技术支持类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-16.97%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1961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90.57%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电力/能源/矿产/测绘</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3.74%</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-28.82%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3.23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机械/机器设备/仪器仪表类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805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1.13%</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510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24.69%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1.58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化工类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-9.76%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-31.58%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41.23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生物/医药/医疗器械类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908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-30.58%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245.45%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23.89</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汽车4S/维修/驾培类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-45.74%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轻工/食品/工艺品</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-23.77%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1100.00%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24.58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计算机硬件开发类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52.67%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26.50</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计算机软件开发类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-28.07%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-49.49%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7.20</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IT管理/项目协调类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0.00%</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303.85%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0.74</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IT质量管理/测试/配置管理类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92.86%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8.63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IT运维/技术支持/系统集成类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-12.14%</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103.33%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2.14</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互联网/移动互联网开发/设计类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-9.72%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104.62%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互联网产品/运营管理/电子商务类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1000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22.25%</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584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27.79%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手机/通信技术类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376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-9.40%</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95.45%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电子/电器类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-13.98%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79.22%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3.52</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技工类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16.76%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14.21%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0.93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建筑/工程类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5284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20.15%</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1626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0.74%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3.25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bookmarkStart w:id="0" w:name="undefined"/>
            <w:bookmarkEnd w:id="0"/>
            <w:r w:rsidRPr="0011755B">
              <w:rPr>
                <w:rFonts w:ascii="宋体" w:eastAsia="宋体" w:hAnsi="宋体" w:cs="宋体" w:hint="eastAsia"/>
                <w:kern w:val="0"/>
                <w:sz w:val="20"/>
                <w:szCs w:val="20"/>
              </w:rPr>
              <w:lastRenderedPageBreak/>
              <w:t>房地产开发/经纪/中介类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-9.85%</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468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-66.95%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0.53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物业管理类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15.28%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90.00%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贸易/进出口类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533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-61.70%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29.61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物流/仓储类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-8.08%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138</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-4.83%</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交通运输服务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9.21%</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41.67%</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14.65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证券/期货/投资管理/服务类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-9.77%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229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41.36%</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1.37</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银行类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579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-0.52%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-38.60%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4.39</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保险类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-17.01%</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-23.08%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艺术/设计类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892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-30.69%</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23.98%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3.67</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广告类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84.62%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3.96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会展/公关/活动类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1.02%</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26.92%</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6.03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影视类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-13.58%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412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116.84%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0.90</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文字媒体/写作类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540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162.50%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12.86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百货/超市/零售类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445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33.63%</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112.50%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1.75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餐饮/娱乐类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456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-14.93%</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68.81%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2.48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酒店/旅游类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521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-36.46%</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130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78.08%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4.01</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美容/保健类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40.85%</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353</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358.44%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0.28</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翻译类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-30.87%</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-23.08%</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20.60</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法律/法务/合规类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631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-7.61%</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-47.45%</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8.76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咨询/顾问/中介类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94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-6.93%</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149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56.84%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0.63</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培训类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269</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-55.09%</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85</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-34.11%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3.16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医院/医疗/护理类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1884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-26.38%</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87</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11.54%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21.66</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文教/科研类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5086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-28.49%</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1190</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113.64%</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4.27</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t>环境保护类</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436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1.63%</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51</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-65.31%</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8.55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kern w:val="0"/>
                <w:sz w:val="20"/>
                <w:szCs w:val="20"/>
              </w:rPr>
              <w:lastRenderedPageBreak/>
              <w:t>其他职位</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1944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-74.30%</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5604</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-25.39%</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kern w:val="0"/>
                <w:sz w:val="20"/>
                <w:szCs w:val="20"/>
              </w:rPr>
              <w:t>0.35</w:t>
            </w:r>
          </w:p>
        </w:tc>
      </w:tr>
      <w:tr w:rsidR="0011755B" w:rsidRPr="0011755B" w:rsidTr="0011755B">
        <w:trPr>
          <w:jc w:val="center"/>
        </w:trPr>
        <w:tc>
          <w:tcPr>
            <w:tcW w:w="370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left"/>
              <w:rPr>
                <w:rFonts w:ascii="宋体" w:eastAsia="宋体" w:hAnsi="宋体" w:cs="宋体"/>
                <w:kern w:val="0"/>
                <w:sz w:val="24"/>
                <w:szCs w:val="24"/>
              </w:rPr>
            </w:pPr>
            <w:r w:rsidRPr="0011755B">
              <w:rPr>
                <w:rFonts w:ascii="宋体" w:eastAsia="宋体" w:hAnsi="宋体" w:cs="宋体" w:hint="eastAsia"/>
                <w:b/>
                <w:bCs/>
                <w:kern w:val="0"/>
                <w:sz w:val="20"/>
                <w:szCs w:val="20"/>
              </w:rPr>
              <w:t>总数</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45346</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-16.64%</w:t>
            </w:r>
          </w:p>
        </w:tc>
        <w:tc>
          <w:tcPr>
            <w:tcW w:w="11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24522</w:t>
            </w:r>
          </w:p>
        </w:tc>
        <w:tc>
          <w:tcPr>
            <w:tcW w:w="142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-9.70%</w:t>
            </w:r>
          </w:p>
        </w:tc>
        <w:tc>
          <w:tcPr>
            <w:tcW w:w="109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11755B" w:rsidRPr="0011755B" w:rsidRDefault="0011755B" w:rsidP="0011755B">
            <w:pPr>
              <w:widowControl/>
              <w:jc w:val="right"/>
              <w:textAlignment w:val="center"/>
              <w:rPr>
                <w:rFonts w:ascii="宋体" w:eastAsia="宋体" w:hAnsi="宋体" w:cs="宋体"/>
                <w:kern w:val="0"/>
                <w:sz w:val="24"/>
                <w:szCs w:val="24"/>
              </w:rPr>
            </w:pPr>
            <w:r w:rsidRPr="0011755B">
              <w:rPr>
                <w:rFonts w:ascii="宋体" w:eastAsia="宋体" w:hAnsi="宋体" w:cs="宋体" w:hint="eastAsia"/>
                <w:b/>
                <w:bCs/>
                <w:kern w:val="0"/>
                <w:sz w:val="20"/>
                <w:szCs w:val="20"/>
              </w:rPr>
              <w:t>1.85</w:t>
            </w:r>
          </w:p>
        </w:tc>
      </w:tr>
    </w:tbl>
    <w:p w:rsidR="0011755B" w:rsidRPr="0011755B" w:rsidRDefault="0011755B" w:rsidP="0011755B">
      <w:pPr>
        <w:widowControl/>
        <w:shd w:val="clear" w:color="auto" w:fill="FFFFFF"/>
        <w:spacing w:line="376" w:lineRule="atLeast"/>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11755B" w:rsidRPr="0011755B" w:rsidRDefault="0011755B" w:rsidP="0011755B">
      <w:pPr>
        <w:widowControl/>
        <w:shd w:val="clear" w:color="auto" w:fill="FFFFFF"/>
        <w:spacing w:line="376" w:lineRule="atLeast"/>
        <w:jc w:val="left"/>
        <w:rPr>
          <w:rFonts w:ascii="宋体" w:eastAsia="宋体" w:hAnsi="宋体" w:cs="宋体"/>
          <w:color w:val="333333"/>
          <w:kern w:val="0"/>
          <w:sz w:val="24"/>
          <w:szCs w:val="24"/>
        </w:rPr>
      </w:pPr>
      <w:r w:rsidRPr="0011755B">
        <w:rPr>
          <w:rFonts w:ascii="宋体" w:eastAsia="宋体" w:hAnsi="宋体" w:cs="宋体"/>
          <w:color w:val="333333"/>
          <w:kern w:val="0"/>
          <w:sz w:val="20"/>
          <w:szCs w:val="20"/>
        </w:rPr>
        <w:t> </w:t>
      </w:r>
    </w:p>
    <w:p w:rsidR="002F1FD1" w:rsidRPr="0011755B" w:rsidRDefault="002F1FD1" w:rsidP="0011755B"/>
    <w:sectPr w:rsidR="002F1FD1" w:rsidRPr="0011755B" w:rsidSect="00693C4A">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useFELayout/>
  </w:compat>
  <w:rsids>
    <w:rsidRoot w:val="0073139F"/>
    <w:rsid w:val="0011755B"/>
    <w:rsid w:val="002F1FD1"/>
    <w:rsid w:val="00693C4A"/>
    <w:rsid w:val="007313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FD1"/>
    <w:pPr>
      <w:widowControl w:val="0"/>
      <w:jc w:val="both"/>
    </w:pPr>
  </w:style>
  <w:style w:type="paragraph" w:styleId="1">
    <w:name w:val="heading 1"/>
    <w:basedOn w:val="a"/>
    <w:link w:val="1Char"/>
    <w:uiPriority w:val="9"/>
    <w:qFormat/>
    <w:rsid w:val="00693C4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93C4A"/>
    <w:rPr>
      <w:rFonts w:ascii="宋体" w:eastAsia="宋体" w:hAnsi="宋体" w:cs="宋体"/>
      <w:b/>
      <w:bCs/>
      <w:kern w:val="36"/>
      <w:sz w:val="48"/>
      <w:szCs w:val="48"/>
    </w:rPr>
  </w:style>
  <w:style w:type="character" w:customStyle="1" w:styleId="item">
    <w:name w:val="item"/>
    <w:basedOn w:val="a0"/>
    <w:rsid w:val="00693C4A"/>
  </w:style>
  <w:style w:type="character" w:customStyle="1" w:styleId="deep">
    <w:name w:val="deep"/>
    <w:basedOn w:val="a0"/>
    <w:rsid w:val="00693C4A"/>
  </w:style>
  <w:style w:type="character" w:styleId="a3">
    <w:name w:val="Strong"/>
    <w:basedOn w:val="a0"/>
    <w:uiPriority w:val="22"/>
    <w:qFormat/>
    <w:rsid w:val="00693C4A"/>
    <w:rPr>
      <w:b/>
      <w:bCs/>
    </w:rPr>
  </w:style>
  <w:style w:type="paragraph" w:styleId="a4">
    <w:name w:val="Balloon Text"/>
    <w:basedOn w:val="a"/>
    <w:link w:val="Char"/>
    <w:uiPriority w:val="99"/>
    <w:semiHidden/>
    <w:unhideWhenUsed/>
    <w:rsid w:val="00693C4A"/>
    <w:rPr>
      <w:sz w:val="18"/>
      <w:szCs w:val="18"/>
    </w:rPr>
  </w:style>
  <w:style w:type="character" w:customStyle="1" w:styleId="Char">
    <w:name w:val="批注框文本 Char"/>
    <w:basedOn w:val="a0"/>
    <w:link w:val="a4"/>
    <w:uiPriority w:val="99"/>
    <w:semiHidden/>
    <w:rsid w:val="00693C4A"/>
    <w:rPr>
      <w:sz w:val="18"/>
      <w:szCs w:val="18"/>
    </w:rPr>
  </w:style>
  <w:style w:type="paragraph" w:styleId="a5">
    <w:name w:val="Normal (Web)"/>
    <w:basedOn w:val="a"/>
    <w:uiPriority w:val="99"/>
    <w:semiHidden/>
    <w:unhideWhenUsed/>
    <w:rsid w:val="0011755B"/>
    <w:pPr>
      <w:widowControl/>
      <w:spacing w:before="100" w:beforeAutospacing="1" w:after="100" w:afterAutospacing="1"/>
      <w:jc w:val="left"/>
    </w:pPr>
    <w:rPr>
      <w:rFonts w:ascii="宋体" w:eastAsia="宋体" w:hAnsi="宋体" w:cs="宋体"/>
      <w:kern w:val="0"/>
      <w:sz w:val="24"/>
      <w:szCs w:val="24"/>
    </w:rPr>
  </w:style>
  <w:style w:type="character" w:customStyle="1" w:styleId="15">
    <w:name w:val="15"/>
    <w:basedOn w:val="a0"/>
    <w:rsid w:val="0011755B"/>
  </w:style>
</w:styles>
</file>

<file path=word/webSettings.xml><?xml version="1.0" encoding="utf-8"?>
<w:webSettings xmlns:r="http://schemas.openxmlformats.org/officeDocument/2006/relationships" xmlns:w="http://schemas.openxmlformats.org/wordprocessingml/2006/main">
  <w:divs>
    <w:div w:id="1031685438">
      <w:bodyDiv w:val="1"/>
      <w:marLeft w:val="0"/>
      <w:marRight w:val="0"/>
      <w:marTop w:val="0"/>
      <w:marBottom w:val="0"/>
      <w:divBdr>
        <w:top w:val="none" w:sz="0" w:space="0" w:color="auto"/>
        <w:left w:val="none" w:sz="0" w:space="0" w:color="auto"/>
        <w:bottom w:val="none" w:sz="0" w:space="0" w:color="auto"/>
        <w:right w:val="none" w:sz="0" w:space="0" w:color="auto"/>
      </w:divBdr>
      <w:divsChild>
        <w:div w:id="1316491155">
          <w:marLeft w:val="0"/>
          <w:marRight w:val="0"/>
          <w:marTop w:val="0"/>
          <w:marBottom w:val="0"/>
          <w:divBdr>
            <w:top w:val="none" w:sz="0" w:space="0" w:color="auto"/>
            <w:left w:val="none" w:sz="0" w:space="0" w:color="auto"/>
            <w:bottom w:val="single" w:sz="4" w:space="13" w:color="E9E9E9"/>
            <w:right w:val="none" w:sz="0" w:space="0" w:color="auto"/>
          </w:divBdr>
        </w:div>
        <w:div w:id="168758236">
          <w:marLeft w:val="0"/>
          <w:marRight w:val="0"/>
          <w:marTop w:val="0"/>
          <w:marBottom w:val="0"/>
          <w:divBdr>
            <w:top w:val="none" w:sz="0" w:space="0" w:color="auto"/>
            <w:left w:val="none" w:sz="0" w:space="0" w:color="auto"/>
            <w:bottom w:val="none" w:sz="0" w:space="0" w:color="auto"/>
            <w:right w:val="none" w:sz="0" w:space="0" w:color="auto"/>
          </w:divBdr>
        </w:div>
        <w:div w:id="237256263">
          <w:marLeft w:val="0"/>
          <w:marRight w:val="0"/>
          <w:marTop w:val="0"/>
          <w:marBottom w:val="0"/>
          <w:divBdr>
            <w:top w:val="none" w:sz="0" w:space="0" w:color="auto"/>
            <w:left w:val="none" w:sz="0" w:space="0" w:color="auto"/>
            <w:bottom w:val="none" w:sz="0" w:space="0" w:color="auto"/>
            <w:right w:val="none" w:sz="0" w:space="0" w:color="auto"/>
          </w:divBdr>
        </w:div>
        <w:div w:id="1160081126">
          <w:marLeft w:val="0"/>
          <w:marRight w:val="0"/>
          <w:marTop w:val="0"/>
          <w:marBottom w:val="0"/>
          <w:divBdr>
            <w:top w:val="none" w:sz="0" w:space="0" w:color="auto"/>
            <w:left w:val="none" w:sz="0" w:space="0" w:color="auto"/>
            <w:bottom w:val="none" w:sz="0" w:space="0" w:color="auto"/>
            <w:right w:val="none" w:sz="0" w:space="0" w:color="auto"/>
          </w:divBdr>
        </w:div>
        <w:div w:id="124083423">
          <w:marLeft w:val="0"/>
          <w:marRight w:val="0"/>
          <w:marTop w:val="0"/>
          <w:marBottom w:val="0"/>
          <w:divBdr>
            <w:top w:val="none" w:sz="0" w:space="0" w:color="auto"/>
            <w:left w:val="none" w:sz="0" w:space="0" w:color="auto"/>
            <w:bottom w:val="none" w:sz="0" w:space="0" w:color="auto"/>
            <w:right w:val="none" w:sz="0" w:space="0" w:color="auto"/>
          </w:divBdr>
        </w:div>
        <w:div w:id="2084831731">
          <w:marLeft w:val="0"/>
          <w:marRight w:val="0"/>
          <w:marTop w:val="0"/>
          <w:marBottom w:val="0"/>
          <w:divBdr>
            <w:top w:val="none" w:sz="0" w:space="0" w:color="auto"/>
            <w:left w:val="none" w:sz="0" w:space="0" w:color="auto"/>
            <w:bottom w:val="none" w:sz="0" w:space="0" w:color="auto"/>
            <w:right w:val="none" w:sz="0" w:space="0" w:color="auto"/>
          </w:divBdr>
        </w:div>
      </w:divsChild>
    </w:div>
    <w:div w:id="1835992259">
      <w:bodyDiv w:val="1"/>
      <w:marLeft w:val="0"/>
      <w:marRight w:val="0"/>
      <w:marTop w:val="0"/>
      <w:marBottom w:val="0"/>
      <w:divBdr>
        <w:top w:val="none" w:sz="0" w:space="0" w:color="auto"/>
        <w:left w:val="none" w:sz="0" w:space="0" w:color="auto"/>
        <w:bottom w:val="none" w:sz="0" w:space="0" w:color="auto"/>
        <w:right w:val="none" w:sz="0" w:space="0" w:color="auto"/>
      </w:divBdr>
      <w:divsChild>
        <w:div w:id="289014744">
          <w:marLeft w:val="0"/>
          <w:marRight w:val="0"/>
          <w:marTop w:val="0"/>
          <w:marBottom w:val="0"/>
          <w:divBdr>
            <w:top w:val="none" w:sz="0" w:space="0" w:color="auto"/>
            <w:left w:val="none" w:sz="0" w:space="0" w:color="auto"/>
            <w:bottom w:val="single" w:sz="4" w:space="13" w:color="E9E9E9"/>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43</Pages>
  <Words>2021</Words>
  <Characters>11526</Characters>
  <Application>Microsoft Office Word</Application>
  <DocSecurity>0</DocSecurity>
  <Lines>96</Lines>
  <Paragraphs>27</Paragraphs>
  <ScaleCrop>false</ScaleCrop>
  <Company/>
  <LinksUpToDate>false</LinksUpToDate>
  <CharactersWithSpaces>13520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2021-07-29T07:29:00Z</dcterms:created>
  <dcterms:modified xsi:type="dcterms:W3CDTF">2021-07-29T07:29:00Z</dcterms:modified>
</cp:coreProperties>
</file>