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0"/>
        <w:jc w:val="center"/>
        <w:rPr>
          <w:rFonts w:hint="eastAsia" w:ascii="微软雅黑" w:hAnsi="微软雅黑" w:eastAsia="微软雅黑" w:cs="微软雅黑"/>
          <w:i w:val="0"/>
          <w:caps w:val="0"/>
          <w:color w:val="0175BB"/>
          <w:spacing w:val="0"/>
          <w:sz w:val="30"/>
          <w:szCs w:val="30"/>
        </w:rPr>
      </w:pPr>
      <w:r>
        <w:rPr>
          <w:rFonts w:hint="eastAsia" w:ascii="微软雅黑" w:hAnsi="微软雅黑" w:eastAsia="微软雅黑" w:cs="微软雅黑"/>
          <w:i w:val="0"/>
          <w:caps w:val="0"/>
          <w:color w:val="0175BB"/>
          <w:spacing w:val="0"/>
          <w:sz w:val="30"/>
          <w:szCs w:val="30"/>
          <w:bdr w:val="none" w:color="auto" w:sz="0" w:space="0"/>
          <w:shd w:val="clear" w:fill="FFFFFF"/>
        </w:rPr>
        <w:t>2024年第四季度广西人才网人才供求分析报告</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rPr>
          <w:rFonts w:hint="eastAsia" w:ascii="微软雅黑" w:hAnsi="微软雅黑" w:eastAsia="微软雅黑" w:cs="微软雅黑"/>
          <w:i w:val="0"/>
          <w:caps w:val="0"/>
          <w:color w:val="333333"/>
          <w:spacing w:val="0"/>
          <w:sz w:val="24"/>
          <w:szCs w:val="24"/>
          <w:bdr w:val="none" w:color="auto" w:sz="0" w:space="0"/>
          <w:shd w:val="clear" w:fill="FFFFFF"/>
        </w:rPr>
      </w:pPr>
      <w:bookmarkStart w:id="0" w:name="_GoBack"/>
      <w:bookmarkEnd w:id="0"/>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rPr>
          <w:rFonts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sz w:val="24"/>
          <w:szCs w:val="24"/>
          <w:bdr w:val="none" w:color="auto" w:sz="0" w:space="0"/>
          <w:shd w:val="clear" w:fill="FFFFFF"/>
        </w:rPr>
        <w:t>广西人才网供求数据显示，2024年第四季度需求人才数为97554人，同比增长14.94%；求职人才数为404281人，同比下降1.08%；总人才供求比为4.14（即人才需求人数或职位数为1时，人才供给或求职人才数为4.14，下同），比上年同期的4.82减少0.68。</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一、</w:t>
      </w: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总体情况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（一）人才供应量季节性回落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2024年第四季度，广西人才网中的人才供应量出现季节性回落，求职人才数为404281人，与上年同期相比减少4432人，同比下滑1.08%，环比下滑15.26%。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求职人才数走势见下图：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drawing>
          <wp:inline distT="0" distB="0" distL="114300" distR="114300">
            <wp:extent cx="6191250" cy="270510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6191250" cy="270510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（二）人才需求量实现增长</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在人才需求方面，广西人才网中有招聘需求的用人单位需求人才数为97554人，与上年同期相比增加12678人，同比增长14.94%，环比增长1.52%。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人才需求数走势见下图：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drawing>
          <wp:inline distT="0" distB="0" distL="114300" distR="114300">
            <wp:extent cx="6191250" cy="2686050"/>
            <wp:effectExtent l="0" t="0" r="0" b="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6191250" cy="268605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（三）人才供求比稍有下降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2024年第四季度，广西人才网中人才供求比为4.14，即超过4个人竞争1个岗位。这一比例在本季度有所下降，与去年同期相比减少0.68，与上季度相比减少0.83。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人才供求比走势见下图：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drawing>
          <wp:inline distT="0" distB="0" distL="114300" distR="114300">
            <wp:extent cx="6191250" cy="2667000"/>
            <wp:effectExtent l="0" t="0" r="0" b="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6191250" cy="266700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Style w:val="6"/>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二、产业和行业人才需求分布特点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在产业分布中，广西人才网中第三产业是人才需求的主要支撑，其需求人才数占比达到68.69%。</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近两年第四季度三大产业人才需求分布见下表：</w:t>
      </w:r>
    </w:p>
    <w:tbl>
      <w:tblPr>
        <w:tblW w:w="6572" w:type="dxa"/>
        <w:jc w:val="center"/>
        <w:tblInd w:w="86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
      <w:tblGrid>
        <w:gridCol w:w="1357"/>
        <w:gridCol w:w="1296"/>
        <w:gridCol w:w="1311"/>
        <w:gridCol w:w="1296"/>
        <w:gridCol w:w="13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jc w:val="center"/>
        </w:trPr>
        <w:tc>
          <w:tcPr>
            <w:tcW w:w="1357" w:type="dxa"/>
            <w:vMerge w:val="restart"/>
            <w:tcBorders>
              <w:top w:val="nil"/>
              <w:left w:val="nil"/>
              <w:bottom w:val="nil"/>
              <w:right w:val="nil"/>
            </w:tcBorders>
            <w:shd w:val="clear" w:color="auto" w:fill="7AA0CD"/>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b/>
                <w:kern w:val="0"/>
                <w:sz w:val="24"/>
                <w:szCs w:val="24"/>
                <w:bdr w:val="none" w:color="auto" w:sz="0" w:space="0"/>
                <w:lang w:val="en-US" w:eastAsia="zh-CN" w:bidi="ar"/>
              </w:rPr>
              <w:t>产业</w:t>
            </w:r>
          </w:p>
        </w:tc>
        <w:tc>
          <w:tcPr>
            <w:tcW w:w="2607" w:type="dxa"/>
            <w:gridSpan w:val="2"/>
            <w:tcBorders>
              <w:top w:val="single" w:color="auto" w:sz="8" w:space="0"/>
              <w:left w:val="single" w:color="auto" w:sz="8" w:space="0"/>
              <w:bottom w:val="single" w:color="auto" w:sz="8" w:space="0"/>
              <w:right w:val="single" w:color="auto" w:sz="8" w:space="0"/>
            </w:tcBorders>
            <w:shd w:val="clear" w:color="auto" w:fill="7AA0CD"/>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2024年第四季度</w:t>
            </w:r>
          </w:p>
        </w:tc>
        <w:tc>
          <w:tcPr>
            <w:tcW w:w="2608" w:type="dxa"/>
            <w:gridSpan w:val="2"/>
            <w:tcBorders>
              <w:top w:val="single" w:color="auto" w:sz="8" w:space="0"/>
              <w:left w:val="single" w:color="auto" w:sz="8" w:space="0"/>
              <w:bottom w:val="single" w:color="auto" w:sz="8" w:space="0"/>
              <w:right w:val="single" w:color="auto" w:sz="8" w:space="0"/>
            </w:tcBorders>
            <w:shd w:val="clear" w:color="auto" w:fill="7AA0CD"/>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2023年第四季度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1357" w:type="dxa"/>
            <w:vMerge w:val="continue"/>
            <w:tcBorders>
              <w:top w:val="nil"/>
              <w:left w:val="nil"/>
              <w:bottom w:val="nil"/>
              <w:right w:val="nil"/>
            </w:tcBorders>
            <w:shd w:val="clear" w:color="auto" w:fill="7AA0CD"/>
            <w:vAlign w:val="center"/>
          </w:tcPr>
          <w:p>
            <w:pPr>
              <w:rPr>
                <w:rFonts w:hint="eastAsia" w:ascii="宋体"/>
                <w:sz w:val="24"/>
                <w:szCs w:val="24"/>
              </w:rPr>
            </w:pPr>
          </w:p>
        </w:tc>
        <w:tc>
          <w:tcPr>
            <w:tcW w:w="1296" w:type="dxa"/>
            <w:tcBorders>
              <w:top w:val="single" w:color="auto" w:sz="8" w:space="0"/>
              <w:left w:val="single" w:color="auto" w:sz="8" w:space="0"/>
              <w:bottom w:val="single" w:color="auto" w:sz="8" w:space="0"/>
              <w:right w:val="single" w:color="auto" w:sz="8" w:space="0"/>
            </w:tcBorders>
            <w:shd w:val="clear" w:color="auto" w:fill="7AA0CD"/>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需求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人才数</w:t>
            </w:r>
          </w:p>
        </w:tc>
        <w:tc>
          <w:tcPr>
            <w:tcW w:w="1311" w:type="dxa"/>
            <w:tcBorders>
              <w:top w:val="single" w:color="auto" w:sz="8" w:space="0"/>
              <w:left w:val="single" w:color="auto" w:sz="8" w:space="0"/>
              <w:bottom w:val="single" w:color="auto" w:sz="8" w:space="0"/>
              <w:right w:val="single" w:color="auto" w:sz="8" w:space="0"/>
            </w:tcBorders>
            <w:shd w:val="clear" w:color="auto" w:fill="7AA0CD"/>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需求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占比</w:t>
            </w:r>
          </w:p>
        </w:tc>
        <w:tc>
          <w:tcPr>
            <w:tcW w:w="1296" w:type="dxa"/>
            <w:tcBorders>
              <w:top w:val="single" w:color="auto" w:sz="8" w:space="0"/>
              <w:left w:val="single" w:color="auto" w:sz="8" w:space="0"/>
              <w:bottom w:val="single" w:color="auto" w:sz="8" w:space="0"/>
              <w:right w:val="single" w:color="auto" w:sz="8" w:space="0"/>
            </w:tcBorders>
            <w:shd w:val="clear" w:color="auto" w:fill="7AA0CD"/>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需求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人才数</w:t>
            </w:r>
          </w:p>
        </w:tc>
        <w:tc>
          <w:tcPr>
            <w:tcW w:w="1312" w:type="dxa"/>
            <w:tcBorders>
              <w:top w:val="single" w:color="auto" w:sz="8" w:space="0"/>
              <w:left w:val="single" w:color="auto" w:sz="8" w:space="0"/>
              <w:bottom w:val="single" w:color="auto" w:sz="8" w:space="0"/>
              <w:right w:val="single" w:color="auto" w:sz="8" w:space="0"/>
            </w:tcBorders>
            <w:shd w:val="clear" w:color="auto" w:fill="7AA0CD"/>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需求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占比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1357"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第一产业</w:t>
            </w:r>
          </w:p>
        </w:tc>
        <w:tc>
          <w:tcPr>
            <w:tcW w:w="1296"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1902</w:t>
            </w:r>
          </w:p>
        </w:tc>
        <w:tc>
          <w:tcPr>
            <w:tcW w:w="1311"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1.95%</w:t>
            </w:r>
          </w:p>
        </w:tc>
        <w:tc>
          <w:tcPr>
            <w:tcW w:w="1296"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2170</w:t>
            </w:r>
          </w:p>
        </w:tc>
        <w:tc>
          <w:tcPr>
            <w:tcW w:w="1312"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1357"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第二产业</w:t>
            </w:r>
          </w:p>
        </w:tc>
        <w:tc>
          <w:tcPr>
            <w:tcW w:w="1296"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28646</w:t>
            </w:r>
          </w:p>
        </w:tc>
        <w:tc>
          <w:tcPr>
            <w:tcW w:w="1311"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29.36%</w:t>
            </w:r>
          </w:p>
        </w:tc>
        <w:tc>
          <w:tcPr>
            <w:tcW w:w="1296"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24735</w:t>
            </w:r>
          </w:p>
        </w:tc>
        <w:tc>
          <w:tcPr>
            <w:tcW w:w="1312"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29.14%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1357"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第三产业</w:t>
            </w:r>
          </w:p>
        </w:tc>
        <w:tc>
          <w:tcPr>
            <w:tcW w:w="1296"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67006</w:t>
            </w:r>
          </w:p>
        </w:tc>
        <w:tc>
          <w:tcPr>
            <w:tcW w:w="1311"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68.69%</w:t>
            </w:r>
          </w:p>
        </w:tc>
        <w:tc>
          <w:tcPr>
            <w:tcW w:w="1296"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57971</w:t>
            </w:r>
          </w:p>
        </w:tc>
        <w:tc>
          <w:tcPr>
            <w:tcW w:w="1312"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68.30%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1357"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b/>
                <w:kern w:val="0"/>
                <w:sz w:val="24"/>
                <w:szCs w:val="24"/>
                <w:bdr w:val="none" w:color="auto" w:sz="0" w:space="0"/>
                <w:lang w:val="en-US" w:eastAsia="zh-CN" w:bidi="ar"/>
              </w:rPr>
              <w:t>总计</w:t>
            </w:r>
          </w:p>
        </w:tc>
        <w:tc>
          <w:tcPr>
            <w:tcW w:w="12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97554</w:t>
            </w:r>
          </w:p>
        </w:tc>
        <w:tc>
          <w:tcPr>
            <w:tcW w:w="1311"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w:t>
            </w:r>
          </w:p>
        </w:tc>
        <w:tc>
          <w:tcPr>
            <w:tcW w:w="1296"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84876</w:t>
            </w:r>
          </w:p>
        </w:tc>
        <w:tc>
          <w:tcPr>
            <w:tcW w:w="1312"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w:t>
            </w:r>
          </w:p>
        </w:tc>
      </w:tr>
    </w:tbl>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在行业分布中，人才需求量排名前五的行业类别分别为：租赁和商务服务业、制造业、信息传输/计算机服务和软件业、建筑业、金融业，这五个行业合计需求人才数占比达到82.65%。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在24个主要行业类别中，有6个行业类别的人才需求相较于上年同期实现不同程度的增长。其中，增长主要集中在租赁与商务服务业、制造业中，租赁与商务服务业的需求人才数比上年同期增加15470人，同比增长55.84%，是本季度人才需求量同比增长最多的行业类别；制造业的需求人才数比上年同期增加6569人，同比增长40.52%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另外，有17个行业类别的人才需求相较于上年同期出现不同程度的下滑。信息传输、计算机服务和软件业的人才需求减少量排名第一，需求人才数比上年同期减少2280人，同比下滑21.81%；其次是建筑业，需求人才数比上年同期减少2045人，同比下滑34.35%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具体行业人才需求分布见下表：</w:t>
      </w:r>
    </w:p>
    <w:tbl>
      <w:tblPr>
        <w:tblW w:w="8692" w:type="dxa"/>
        <w:jc w:val="center"/>
        <w:tblInd w:w="-193"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
      <w:tblGrid>
        <w:gridCol w:w="1534"/>
        <w:gridCol w:w="3278"/>
        <w:gridCol w:w="1263"/>
        <w:gridCol w:w="1353"/>
        <w:gridCol w:w="1264"/>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1534" w:type="dxa"/>
            <w:tcBorders>
              <w:top w:val="single" w:color="auto" w:sz="8" w:space="0"/>
              <w:left w:val="single" w:color="auto" w:sz="8" w:space="0"/>
              <w:bottom w:val="single" w:color="auto" w:sz="8" w:space="0"/>
              <w:right w:val="single" w:color="auto" w:sz="8" w:space="0"/>
            </w:tcBorders>
            <w:shd w:val="clear" w:color="auto" w:fill="7AA0CD"/>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产业</w:t>
            </w:r>
          </w:p>
        </w:tc>
        <w:tc>
          <w:tcPr>
            <w:tcW w:w="3278" w:type="dxa"/>
            <w:tcBorders>
              <w:top w:val="single" w:color="auto" w:sz="8" w:space="0"/>
              <w:left w:val="single" w:color="auto" w:sz="8" w:space="0"/>
              <w:bottom w:val="single" w:color="auto" w:sz="8" w:space="0"/>
              <w:right w:val="single" w:color="auto" w:sz="8" w:space="0"/>
            </w:tcBorders>
            <w:shd w:val="clear" w:color="auto" w:fill="7AA0CD"/>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行业</w:t>
            </w:r>
          </w:p>
        </w:tc>
        <w:tc>
          <w:tcPr>
            <w:tcW w:w="1263" w:type="dxa"/>
            <w:tcBorders>
              <w:top w:val="single" w:color="auto" w:sz="8" w:space="0"/>
              <w:left w:val="single" w:color="auto" w:sz="8" w:space="0"/>
              <w:bottom w:val="single" w:color="auto" w:sz="8" w:space="0"/>
              <w:right w:val="single" w:color="auto" w:sz="8" w:space="0"/>
            </w:tcBorders>
            <w:shd w:val="clear" w:color="auto" w:fill="7AA0CD"/>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需求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人才数</w:t>
            </w:r>
          </w:p>
        </w:tc>
        <w:tc>
          <w:tcPr>
            <w:tcW w:w="1353" w:type="dxa"/>
            <w:tcBorders>
              <w:top w:val="single" w:color="auto" w:sz="8" w:space="0"/>
              <w:left w:val="single" w:color="auto" w:sz="8" w:space="0"/>
              <w:bottom w:val="single" w:color="auto" w:sz="8" w:space="0"/>
              <w:right w:val="single" w:color="auto" w:sz="8" w:space="0"/>
            </w:tcBorders>
            <w:shd w:val="clear" w:color="auto" w:fill="7AA0CD"/>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需求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占比</w:t>
            </w:r>
          </w:p>
        </w:tc>
        <w:tc>
          <w:tcPr>
            <w:tcW w:w="1264" w:type="dxa"/>
            <w:tcBorders>
              <w:top w:val="single" w:color="auto" w:sz="8" w:space="0"/>
              <w:left w:val="single" w:color="auto" w:sz="8" w:space="0"/>
              <w:bottom w:val="single" w:color="auto" w:sz="8" w:space="0"/>
              <w:right w:val="single" w:color="auto" w:sz="8" w:space="0"/>
            </w:tcBorders>
            <w:shd w:val="clear" w:color="auto" w:fill="7AA0CD"/>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同比</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增长率</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1534" w:type="dxa"/>
            <w:vMerge w:val="restart"/>
            <w:tcBorders>
              <w:top w:val="single" w:color="auto" w:sz="8" w:space="0"/>
              <w:left w:val="single" w:color="auto" w:sz="8" w:space="0"/>
              <w:bottom w:val="single" w:color="auto" w:sz="8" w:space="0"/>
              <w:right w:val="single" w:color="auto"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第一产业</w:t>
            </w:r>
          </w:p>
        </w:tc>
        <w:tc>
          <w:tcPr>
            <w:tcW w:w="3278"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农业</w:t>
            </w:r>
          </w:p>
        </w:tc>
        <w:tc>
          <w:tcPr>
            <w:tcW w:w="1263"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854</w:t>
            </w:r>
          </w:p>
        </w:tc>
        <w:tc>
          <w:tcPr>
            <w:tcW w:w="1353"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0.88%</w:t>
            </w:r>
          </w:p>
        </w:tc>
        <w:tc>
          <w:tcPr>
            <w:tcW w:w="126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24.13%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林业</w:t>
            </w:r>
          </w:p>
        </w:tc>
        <w:tc>
          <w:tcPr>
            <w:tcW w:w="1263"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223</w:t>
            </w:r>
          </w:p>
        </w:tc>
        <w:tc>
          <w:tcPr>
            <w:tcW w:w="1353"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0.23%</w:t>
            </w:r>
          </w:p>
        </w:tc>
        <w:tc>
          <w:tcPr>
            <w:tcW w:w="126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24.58%</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畜牧业</w:t>
            </w:r>
          </w:p>
        </w:tc>
        <w:tc>
          <w:tcPr>
            <w:tcW w:w="1263"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235</w:t>
            </w:r>
          </w:p>
        </w:tc>
        <w:tc>
          <w:tcPr>
            <w:tcW w:w="1353"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0.24%</w:t>
            </w:r>
          </w:p>
        </w:tc>
        <w:tc>
          <w:tcPr>
            <w:tcW w:w="126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-42.26%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渔业</w:t>
            </w:r>
          </w:p>
        </w:tc>
        <w:tc>
          <w:tcPr>
            <w:tcW w:w="1263"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w:t>
            </w:r>
          </w:p>
        </w:tc>
        <w:tc>
          <w:tcPr>
            <w:tcW w:w="1353"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0.00%</w:t>
            </w:r>
          </w:p>
        </w:tc>
        <w:tc>
          <w:tcPr>
            <w:tcW w:w="126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-85.71%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农、林、牧、渔服务业</w:t>
            </w:r>
          </w:p>
        </w:tc>
        <w:tc>
          <w:tcPr>
            <w:tcW w:w="1263"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586</w:t>
            </w:r>
          </w:p>
        </w:tc>
        <w:tc>
          <w:tcPr>
            <w:tcW w:w="1353"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0.60%</w:t>
            </w:r>
          </w:p>
        </w:tc>
        <w:tc>
          <w:tcPr>
            <w:tcW w:w="126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-32.49%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b/>
                <w:kern w:val="0"/>
                <w:sz w:val="24"/>
                <w:szCs w:val="24"/>
                <w:bdr w:val="none" w:color="auto" w:sz="0" w:space="0"/>
                <w:lang w:val="en-US" w:eastAsia="zh-CN" w:bidi="ar"/>
              </w:rPr>
              <w:t>小计</w:t>
            </w:r>
          </w:p>
        </w:tc>
        <w:tc>
          <w:tcPr>
            <w:tcW w:w="1263"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1902</w:t>
            </w:r>
          </w:p>
        </w:tc>
        <w:tc>
          <w:tcPr>
            <w:tcW w:w="1353"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1.95%</w:t>
            </w:r>
          </w:p>
        </w:tc>
        <w:tc>
          <w:tcPr>
            <w:tcW w:w="126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-12.35%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1534" w:type="dxa"/>
            <w:vMerge w:val="restart"/>
            <w:tcBorders>
              <w:top w:val="single" w:color="auto" w:sz="8" w:space="0"/>
              <w:left w:val="single" w:color="auto" w:sz="8" w:space="0"/>
              <w:bottom w:val="single" w:color="auto" w:sz="8" w:space="0"/>
              <w:right w:val="single" w:color="auto"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第二产业</w:t>
            </w:r>
          </w:p>
        </w:tc>
        <w:tc>
          <w:tcPr>
            <w:tcW w:w="3278"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采矿业</w:t>
            </w:r>
          </w:p>
        </w:tc>
        <w:tc>
          <w:tcPr>
            <w:tcW w:w="1263"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1207</w:t>
            </w:r>
          </w:p>
        </w:tc>
        <w:tc>
          <w:tcPr>
            <w:tcW w:w="1353"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1.24%</w:t>
            </w:r>
          </w:p>
        </w:tc>
        <w:tc>
          <w:tcPr>
            <w:tcW w:w="126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-2.11%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制造业</w:t>
            </w:r>
          </w:p>
        </w:tc>
        <w:tc>
          <w:tcPr>
            <w:tcW w:w="1263"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22781</w:t>
            </w:r>
          </w:p>
        </w:tc>
        <w:tc>
          <w:tcPr>
            <w:tcW w:w="1353"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23.35%</w:t>
            </w:r>
          </w:p>
        </w:tc>
        <w:tc>
          <w:tcPr>
            <w:tcW w:w="126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40.52%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电力、燃气及水的生产和供应业</w:t>
            </w:r>
          </w:p>
        </w:tc>
        <w:tc>
          <w:tcPr>
            <w:tcW w:w="1263"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749</w:t>
            </w:r>
          </w:p>
        </w:tc>
        <w:tc>
          <w:tcPr>
            <w:tcW w:w="1353"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0.77%</w:t>
            </w:r>
          </w:p>
        </w:tc>
        <w:tc>
          <w:tcPr>
            <w:tcW w:w="126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-43.94%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建筑业</w:t>
            </w:r>
          </w:p>
        </w:tc>
        <w:tc>
          <w:tcPr>
            <w:tcW w:w="1263"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3909</w:t>
            </w:r>
          </w:p>
        </w:tc>
        <w:tc>
          <w:tcPr>
            <w:tcW w:w="1353"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4.01%</w:t>
            </w:r>
          </w:p>
        </w:tc>
        <w:tc>
          <w:tcPr>
            <w:tcW w:w="126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-34.35%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b/>
                <w:kern w:val="0"/>
                <w:sz w:val="24"/>
                <w:szCs w:val="24"/>
                <w:bdr w:val="none" w:color="auto" w:sz="0" w:space="0"/>
                <w:lang w:val="en-US" w:eastAsia="zh-CN" w:bidi="ar"/>
              </w:rPr>
              <w:t>小计</w:t>
            </w:r>
          </w:p>
        </w:tc>
        <w:tc>
          <w:tcPr>
            <w:tcW w:w="1263"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28646</w:t>
            </w:r>
          </w:p>
        </w:tc>
        <w:tc>
          <w:tcPr>
            <w:tcW w:w="1353"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29.36%</w:t>
            </w:r>
          </w:p>
        </w:tc>
        <w:tc>
          <w:tcPr>
            <w:tcW w:w="126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15.81%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1534" w:type="dxa"/>
            <w:vMerge w:val="restart"/>
            <w:tcBorders>
              <w:top w:val="single" w:color="auto" w:sz="8" w:space="0"/>
              <w:left w:val="single" w:color="auto" w:sz="8" w:space="0"/>
              <w:bottom w:val="single" w:color="auto" w:sz="8" w:space="0"/>
              <w:right w:val="single" w:color="auto"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第三产业</w:t>
            </w:r>
          </w:p>
        </w:tc>
        <w:tc>
          <w:tcPr>
            <w:tcW w:w="3278"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交通运输、仓储和邮政业</w:t>
            </w:r>
          </w:p>
        </w:tc>
        <w:tc>
          <w:tcPr>
            <w:tcW w:w="1263"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2134</w:t>
            </w:r>
          </w:p>
        </w:tc>
        <w:tc>
          <w:tcPr>
            <w:tcW w:w="1353"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2.19%</w:t>
            </w:r>
          </w:p>
        </w:tc>
        <w:tc>
          <w:tcPr>
            <w:tcW w:w="126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-6.20%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信息传输、计算机服务和软件业</w:t>
            </w:r>
          </w:p>
        </w:tc>
        <w:tc>
          <w:tcPr>
            <w:tcW w:w="1263"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8176</w:t>
            </w:r>
          </w:p>
        </w:tc>
        <w:tc>
          <w:tcPr>
            <w:tcW w:w="1353"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8.38%</w:t>
            </w:r>
          </w:p>
        </w:tc>
        <w:tc>
          <w:tcPr>
            <w:tcW w:w="126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-21.81%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批发和零售业</w:t>
            </w:r>
          </w:p>
        </w:tc>
        <w:tc>
          <w:tcPr>
            <w:tcW w:w="1263"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1529</w:t>
            </w:r>
          </w:p>
        </w:tc>
        <w:tc>
          <w:tcPr>
            <w:tcW w:w="1353"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1.57%</w:t>
            </w:r>
          </w:p>
        </w:tc>
        <w:tc>
          <w:tcPr>
            <w:tcW w:w="126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-39.04%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住宿和餐饮业</w:t>
            </w:r>
          </w:p>
        </w:tc>
        <w:tc>
          <w:tcPr>
            <w:tcW w:w="1263"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901</w:t>
            </w:r>
          </w:p>
        </w:tc>
        <w:tc>
          <w:tcPr>
            <w:tcW w:w="1353"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0.92%</w:t>
            </w:r>
          </w:p>
        </w:tc>
        <w:tc>
          <w:tcPr>
            <w:tcW w:w="126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-29.11%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金融业</w:t>
            </w:r>
          </w:p>
        </w:tc>
        <w:tc>
          <w:tcPr>
            <w:tcW w:w="1263"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2590</w:t>
            </w:r>
          </w:p>
        </w:tc>
        <w:tc>
          <w:tcPr>
            <w:tcW w:w="1353"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2.65%</w:t>
            </w:r>
          </w:p>
        </w:tc>
        <w:tc>
          <w:tcPr>
            <w:tcW w:w="126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-0.73%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房地产业</w:t>
            </w:r>
          </w:p>
        </w:tc>
        <w:tc>
          <w:tcPr>
            <w:tcW w:w="1263"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2564</w:t>
            </w:r>
          </w:p>
        </w:tc>
        <w:tc>
          <w:tcPr>
            <w:tcW w:w="1353"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2.63%</w:t>
            </w:r>
          </w:p>
        </w:tc>
        <w:tc>
          <w:tcPr>
            <w:tcW w:w="126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-27.03%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租赁和商务服务业</w:t>
            </w:r>
          </w:p>
        </w:tc>
        <w:tc>
          <w:tcPr>
            <w:tcW w:w="1263"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43172</w:t>
            </w:r>
          </w:p>
        </w:tc>
        <w:tc>
          <w:tcPr>
            <w:tcW w:w="1353"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44.25%</w:t>
            </w:r>
          </w:p>
        </w:tc>
        <w:tc>
          <w:tcPr>
            <w:tcW w:w="126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55.84%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科学研究、技术服务和地质勘查业</w:t>
            </w:r>
          </w:p>
        </w:tc>
        <w:tc>
          <w:tcPr>
            <w:tcW w:w="1263"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382</w:t>
            </w:r>
          </w:p>
        </w:tc>
        <w:tc>
          <w:tcPr>
            <w:tcW w:w="1353"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0.39%</w:t>
            </w:r>
          </w:p>
        </w:tc>
        <w:tc>
          <w:tcPr>
            <w:tcW w:w="126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-50.26%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水利、环境和公共设施管理业</w:t>
            </w:r>
          </w:p>
        </w:tc>
        <w:tc>
          <w:tcPr>
            <w:tcW w:w="1263"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176</w:t>
            </w:r>
          </w:p>
        </w:tc>
        <w:tc>
          <w:tcPr>
            <w:tcW w:w="1353"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0.18%</w:t>
            </w:r>
          </w:p>
        </w:tc>
        <w:tc>
          <w:tcPr>
            <w:tcW w:w="126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-52.56%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居民服务和其他服务业</w:t>
            </w:r>
          </w:p>
        </w:tc>
        <w:tc>
          <w:tcPr>
            <w:tcW w:w="1263"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2577</w:t>
            </w:r>
          </w:p>
        </w:tc>
        <w:tc>
          <w:tcPr>
            <w:tcW w:w="1353"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2.64%</w:t>
            </w:r>
          </w:p>
        </w:tc>
        <w:tc>
          <w:tcPr>
            <w:tcW w:w="126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-11.69%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教育</w:t>
            </w:r>
          </w:p>
        </w:tc>
        <w:tc>
          <w:tcPr>
            <w:tcW w:w="1263"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1337</w:t>
            </w:r>
          </w:p>
        </w:tc>
        <w:tc>
          <w:tcPr>
            <w:tcW w:w="1353"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1.37%</w:t>
            </w:r>
          </w:p>
        </w:tc>
        <w:tc>
          <w:tcPr>
            <w:tcW w:w="126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-36.73%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卫生、社会保障和社会福利业</w:t>
            </w:r>
          </w:p>
        </w:tc>
        <w:tc>
          <w:tcPr>
            <w:tcW w:w="1263"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58</w:t>
            </w:r>
          </w:p>
        </w:tc>
        <w:tc>
          <w:tcPr>
            <w:tcW w:w="1353"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0.06%</w:t>
            </w:r>
          </w:p>
        </w:tc>
        <w:tc>
          <w:tcPr>
            <w:tcW w:w="126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107.14%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文化、体育和娱乐业</w:t>
            </w:r>
          </w:p>
        </w:tc>
        <w:tc>
          <w:tcPr>
            <w:tcW w:w="1263"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913</w:t>
            </w:r>
          </w:p>
        </w:tc>
        <w:tc>
          <w:tcPr>
            <w:tcW w:w="1353"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0.94%</w:t>
            </w:r>
          </w:p>
        </w:tc>
        <w:tc>
          <w:tcPr>
            <w:tcW w:w="126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-19.63%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公共管理和社会组织</w:t>
            </w:r>
          </w:p>
        </w:tc>
        <w:tc>
          <w:tcPr>
            <w:tcW w:w="1263"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497</w:t>
            </w:r>
          </w:p>
        </w:tc>
        <w:tc>
          <w:tcPr>
            <w:tcW w:w="1353"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0.51%</w:t>
            </w:r>
          </w:p>
        </w:tc>
        <w:tc>
          <w:tcPr>
            <w:tcW w:w="126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64.57%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国际组织</w:t>
            </w:r>
          </w:p>
        </w:tc>
        <w:tc>
          <w:tcPr>
            <w:tcW w:w="1263"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w:t>
            </w:r>
          </w:p>
        </w:tc>
        <w:tc>
          <w:tcPr>
            <w:tcW w:w="1353"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0.00%</w:t>
            </w:r>
          </w:p>
        </w:tc>
        <w:tc>
          <w:tcPr>
            <w:tcW w:w="126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b/>
                <w:kern w:val="0"/>
                <w:sz w:val="24"/>
                <w:szCs w:val="24"/>
                <w:bdr w:val="none" w:color="auto" w:sz="0" w:space="0"/>
                <w:lang w:val="en-US" w:eastAsia="zh-CN" w:bidi="ar"/>
              </w:rPr>
              <w:t>小计</w:t>
            </w:r>
          </w:p>
        </w:tc>
        <w:tc>
          <w:tcPr>
            <w:tcW w:w="1263"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67006</w:t>
            </w:r>
          </w:p>
        </w:tc>
        <w:tc>
          <w:tcPr>
            <w:tcW w:w="1353"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68.69%</w:t>
            </w:r>
          </w:p>
        </w:tc>
        <w:tc>
          <w:tcPr>
            <w:tcW w:w="126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15.59%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4812" w:type="dxa"/>
            <w:gridSpan w:val="2"/>
            <w:tcBorders>
              <w:top w:val="single" w:color="auto" w:sz="8" w:space="0"/>
              <w:left w:val="single" w:color="auto" w:sz="8" w:space="0"/>
              <w:bottom w:val="single" w:color="auto" w:sz="8" w:space="0"/>
              <w:right w:val="single" w:color="auto"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合计</w:t>
            </w:r>
          </w:p>
        </w:tc>
        <w:tc>
          <w:tcPr>
            <w:tcW w:w="1263" w:type="dxa"/>
            <w:tcBorders>
              <w:top w:val="single" w:color="auto" w:sz="8" w:space="0"/>
              <w:left w:val="single" w:color="auto" w:sz="8" w:space="0"/>
              <w:bottom w:val="single" w:color="auto" w:sz="8" w:space="0"/>
              <w:right w:val="single" w:color="auto"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4"/>
                <w:szCs w:val="24"/>
                <w:bdr w:val="none" w:color="auto" w:sz="0" w:space="0"/>
                <w:lang w:val="en-US" w:eastAsia="zh-CN" w:bidi="ar"/>
              </w:rPr>
              <w:t>97554</w:t>
            </w:r>
          </w:p>
        </w:tc>
        <w:tc>
          <w:tcPr>
            <w:tcW w:w="1353"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w:t>
            </w:r>
          </w:p>
        </w:tc>
        <w:tc>
          <w:tcPr>
            <w:tcW w:w="1264" w:type="dxa"/>
            <w:tcBorders>
              <w:top w:val="single" w:color="auto" w:sz="8" w:space="0"/>
              <w:left w:val="single" w:color="auto" w:sz="8" w:space="0"/>
              <w:bottom w:val="single" w:color="auto" w:sz="8" w:space="0"/>
              <w:right w:val="single" w:color="auto"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14.94%</w:t>
            </w:r>
          </w:p>
        </w:tc>
      </w:tr>
    </w:tbl>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部分行业人才需求特点如下：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（一）租赁和商务服务业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2024年第四季度，广西人才网中租赁和商务服务业的人才需求量实现回升。本季度需求人才数为43172人，与上年同期的27702人相比增加15470人，同比增长55.84%，环比增长22.05%。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drawing>
          <wp:inline distT="0" distB="0" distL="114300" distR="114300">
            <wp:extent cx="6191250" cy="2800350"/>
            <wp:effectExtent l="0" t="0" r="0" b="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6191250" cy="28003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该行业类别下，企业管理服务业的人才需求展现出强劲的增长势头，需求人才数为26218人，与上年同期相比增加16286人，同比增长163.98%，环比增长22.20%。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drawing>
          <wp:inline distT="0" distB="0" distL="114300" distR="114300">
            <wp:extent cx="6191250" cy="2819400"/>
            <wp:effectExtent l="0" t="0" r="0" b="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6191250" cy="28194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（二）制造业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2024年第四季度，广西人才网中制造业的人才需求量大幅增长，需求人才数为22781人，比上年同期的16212人增加6569人，同比增长40.52%，环比增长25.45%。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drawing>
          <wp:inline distT="0" distB="0" distL="114300" distR="114300">
            <wp:extent cx="6191250" cy="2819400"/>
            <wp:effectExtent l="0" t="0" r="0" b="0"/>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6191250" cy="28194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从具体行业看，机械制造业的人才需求量增长明显，需求人才数为11763人，与上年同期相比增加3826人，同比增长48.20%，环比增长66.31%。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drawing>
          <wp:inline distT="0" distB="0" distL="114300" distR="114300">
            <wp:extent cx="6191250" cy="2828925"/>
            <wp:effectExtent l="0" t="0" r="0" b="9525"/>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6191250" cy="28289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（三）房地产业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2024年第四季度，广西人才网中房地产业的人才需求量较低迷，需求人才数为2564人，与上年同期的3514人相比减少950人，同比下滑27.03%，环比下滑19.50%。其中，房地产开发经营行业的人才需求减少较明显，需求人才数为885人，与上年同期相比减少932人，同比下滑51.29%，环比下滑30.15%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drawing>
          <wp:inline distT="0" distB="0" distL="114300" distR="114300">
            <wp:extent cx="6191250" cy="2809875"/>
            <wp:effectExtent l="0" t="0" r="0" b="9525"/>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1"/>
                    <a:stretch>
                      <a:fillRect/>
                    </a:stretch>
                  </pic:blipFill>
                  <pic:spPr>
                    <a:xfrm>
                      <a:off x="0" y="0"/>
                      <a:ext cx="6191250" cy="28098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（四）批发和零售业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2024年第四季度，广西人才网中批发和零售业的人才需求量持续低迷，需求人才数为1529人，比上年同期的2508人减少979人，同比下滑39.04%，环比下滑10.95%。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drawing>
          <wp:inline distT="0" distB="0" distL="114300" distR="114300">
            <wp:extent cx="6191250" cy="2828925"/>
            <wp:effectExtent l="0" t="0" r="0" b="9525"/>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6191250" cy="28289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（五）建筑业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2024年第四季度，广西人才网中建筑业的人才需求量呈明显下降趋势，需求人才数为3909人，比上年同期的5954人减少2045人，同比下滑34.35%，环比下滑41.42%。其中，房屋和土木工程建筑的人才需求量减少较多，需求人才数为1630人，与上年同期相比减少1274人，同比下滑43.87%，环比下滑47.91%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drawing>
          <wp:inline distT="0" distB="0" distL="114300" distR="114300">
            <wp:extent cx="6191250" cy="2819400"/>
            <wp:effectExtent l="0" t="0" r="0" b="0"/>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3"/>
                    <a:stretch>
                      <a:fillRect/>
                    </a:stretch>
                  </pic:blipFill>
                  <pic:spPr>
                    <a:xfrm>
                      <a:off x="0" y="0"/>
                      <a:ext cx="6191250" cy="28194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（六）信息传输、计算机服务和软件业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2024年第四季度，广西人才网中信息传输、计算机服务和软件业的人才需求量回落至8176人，与上年同期的10456人相比减少2280人，同比下滑21.81%。其中，通讯/通信运营及其他服务、通讯/通信设备制造业是导致该行业人才需求大幅下降的主要原因，这两个行业的需求人才数与上年同期相比分别减少1360人和902人，同比降幅分别为40.36%和84.54%。</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drawing>
          <wp:inline distT="0" distB="0" distL="114300" distR="114300">
            <wp:extent cx="6191250" cy="2800350"/>
            <wp:effectExtent l="0" t="0" r="0" b="0"/>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4"/>
                    <a:stretch>
                      <a:fillRect/>
                    </a:stretch>
                  </pic:blipFill>
                  <pic:spPr>
                    <a:xfrm>
                      <a:off x="0" y="0"/>
                      <a:ext cx="6191250" cy="28003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Style w:val="6"/>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三、职位供需分布特点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（一）近三成职位类别的人才需求实现同比增长，生产制造/工厂管理类职位增长明显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2024年第四季度，在广西人才网主要职位类别中，生产制造/工厂管理类职位的人才需求同比增长量排名第一，比上年同期增加19021人，同比增长146.12%；其次是销售类职位，人才需求量比上年同期增加1596人，同比增长24.54%；机械/机器设备/仪器仪表类职位排名第三，人才需求量比上年同期增加1559人，同比增长95.24%。</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另外，本季度有七成的职位类别出现不同程度的下滑，其中，建筑/工程类的人才需求量同比减少最多，比上年同期减少1581人，同比下滑34.39%。</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需求人才数前十名见下图：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drawing>
          <wp:inline distT="0" distB="0" distL="114300" distR="114300">
            <wp:extent cx="6191250" cy="3648075"/>
            <wp:effectExtent l="0" t="0" r="0" b="9525"/>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15"/>
                    <a:stretch>
                      <a:fillRect/>
                    </a:stretch>
                  </pic:blipFill>
                  <pic:spPr>
                    <a:xfrm>
                      <a:off x="0" y="0"/>
                      <a:ext cx="6191250" cy="3648075"/>
                    </a:xfrm>
                    <a:prstGeom prst="rect">
                      <a:avLst/>
                    </a:prstGeom>
                    <a:noFill/>
                    <a:ln w="9525">
                      <a:noFill/>
                    </a:ln>
                  </pic:spPr>
                </pic:pic>
              </a:graphicData>
            </a:graphic>
          </wp:inline>
        </w:drawing>
      </w: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1.生产制造/工厂管理类职位人才需求增长迅猛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广西人才网中生产制造/工厂管理类职位的人才需求量在近7年首次突破3万人，创历史新高。需求人才数为32038人，比上年同期的13017人增加19021人，同比增长146.12%，环比增长42.57%。其中，工人/操作员职位是该类职位人才需求增长的主要驱动力，其需求人才数为28151人，与上年同期相比增加17832人，同比增长172.81%，环比增长45.18%。</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drawing>
          <wp:inline distT="0" distB="0" distL="114300" distR="114300">
            <wp:extent cx="6191250" cy="2705100"/>
            <wp:effectExtent l="0" t="0" r="0" b="0"/>
            <wp:docPr id="1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8"/>
                    <pic:cNvPicPr>
                      <a:picLocks noChangeAspect="1"/>
                    </pic:cNvPicPr>
                  </pic:nvPicPr>
                  <pic:blipFill>
                    <a:blip r:embed="rId16"/>
                    <a:stretch>
                      <a:fillRect/>
                    </a:stretch>
                  </pic:blipFill>
                  <pic:spPr>
                    <a:xfrm>
                      <a:off x="0" y="0"/>
                      <a:ext cx="6191250" cy="27051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2.销售类职位人才需求走势低迷，但同比仍有增长</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2024年第四季度，广西人才网中销售类职位的需求人才数为8099人，虽比上季度下滑11.63%，但与上年同期的6503人相比仍增加1596人，同比增长24.54%。在该类职位中，销售代表/顾问职位的人才需求量同比增长显著，其需求人才数为2719人，较上年同期增加1391人，同比增长104.74%。</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drawing>
          <wp:inline distT="0" distB="0" distL="114300" distR="114300">
            <wp:extent cx="6191250" cy="2809875"/>
            <wp:effectExtent l="0" t="0" r="0" b="9525"/>
            <wp:docPr id="1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9"/>
                    <pic:cNvPicPr>
                      <a:picLocks noChangeAspect="1"/>
                    </pic:cNvPicPr>
                  </pic:nvPicPr>
                  <pic:blipFill>
                    <a:blip r:embed="rId17"/>
                    <a:stretch>
                      <a:fillRect/>
                    </a:stretch>
                  </pic:blipFill>
                  <pic:spPr>
                    <a:xfrm>
                      <a:off x="0" y="0"/>
                      <a:ext cx="6191250" cy="28098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3.机械/机器设备/仪器仪表类职位人才需求同比增长明显</w:t>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2024年第四季度，广西人才网中机械/机器设备/仪器仪表类职位的需求人才数为3196人，比上年同期的1637人增加1559人，同比增长95.24%。在该类职位中，机械/设备工程师、机械/设备安装/维修工程师、精密机械/仪器/传感器工程师/技术员职位的人才需求同比增长量排名前三，合计需求人才数为1960人，比上年同期增加1313人，涨幅为202.94%。</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 </w:t>
      </w: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drawing>
          <wp:inline distT="0" distB="0" distL="114300" distR="114300">
            <wp:extent cx="6191250" cy="2790825"/>
            <wp:effectExtent l="0" t="0" r="0" b="9525"/>
            <wp:docPr id="1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70"/>
                    <pic:cNvPicPr>
                      <a:picLocks noChangeAspect="1"/>
                    </pic:cNvPicPr>
                  </pic:nvPicPr>
                  <pic:blipFill>
                    <a:blip r:embed="rId18"/>
                    <a:stretch>
                      <a:fillRect/>
                    </a:stretch>
                  </pic:blipFill>
                  <pic:spPr>
                    <a:xfrm>
                      <a:off x="0" y="0"/>
                      <a:ext cx="6191250" cy="27908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4.传统管理类职位人才需求呈明显下滑趋势</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2024年第四季度，广西人才网中传统管理类职位</w:t>
      </w: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（包含行政/文职/后勤类、人力资源/人事类、财务/税务/审计/统计类职位，下同）</w:t>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的需求人才数为4948人，比上年同期的6186人减少1238人，同比下滑20.01%，环比下滑14.32%。其中，行政/文职/后勤类职位的需求人才数为2051人，比上年同期减少797人，同比下滑27.98%，环比下滑18.45%；人力资源/人事类职位的需求人才数为1338人，比上年同期减少366人，同比下滑21.48%，环比下滑16.11%；财务/税务/审计/统计类职位的需求人才数为1559人，与上年同期相比减少75人，同比下滑4.59%，环比下滑6.37%。</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drawing>
          <wp:inline distT="0" distB="0" distL="114300" distR="114300">
            <wp:extent cx="6191250" cy="2828925"/>
            <wp:effectExtent l="0" t="0" r="0" b="9525"/>
            <wp:docPr id="1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71"/>
                    <pic:cNvPicPr>
                      <a:picLocks noChangeAspect="1"/>
                    </pic:cNvPicPr>
                  </pic:nvPicPr>
                  <pic:blipFill>
                    <a:blip r:embed="rId19"/>
                    <a:stretch>
                      <a:fillRect/>
                    </a:stretch>
                  </pic:blipFill>
                  <pic:spPr>
                    <a:xfrm>
                      <a:off x="0" y="0"/>
                      <a:ext cx="6191250" cy="28289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5.IT/技术类职位人才需求持续下跌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2024年第四季度，广西人才网中IT/技术类职位</w:t>
      </w: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（包含</w:t>
      </w:r>
      <w:r>
        <w:rPr>
          <w:rFonts w:hint="eastAsia" w:ascii="微软雅黑" w:hAnsi="微软雅黑" w:eastAsia="微软雅黑" w:cs="微软雅黑"/>
          <w:b/>
          <w:i w:val="0"/>
          <w:caps w:val="0"/>
          <w:color w:val="333333"/>
          <w:spacing w:val="0"/>
          <w:kern w:val="0"/>
          <w:sz w:val="21"/>
          <w:szCs w:val="21"/>
          <w:bdr w:val="none" w:color="auto" w:sz="0" w:space="0"/>
          <w:shd w:val="clear" w:fill="FFFFFF"/>
          <w:lang w:val="en-US" w:eastAsia="zh-CN" w:bidi="ar"/>
        </w:rPr>
        <w:t> </w:t>
      </w: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IT技术/项目管理类、前后端开发类、人工智能/算法类等九类职位，详见附表1，下同）</w:t>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的需求人才数持续下跌至868人，与上年同期的1093人相比减少225人，同比下滑20.59%，环比下滑17.02%。其中，运维/质量管理类、IT技术/项目管理类、售前/售后/技术支持类职位的人才需求减少较多，这三个职位类别合计需求人才数为461人，比上年同期减少277人，同比下滑37.53%，环比下滑29.08%。</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drawing>
          <wp:inline distT="0" distB="0" distL="114300" distR="114300">
            <wp:extent cx="6191250" cy="2705100"/>
            <wp:effectExtent l="0" t="0" r="0" b="0"/>
            <wp:docPr id="17"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72"/>
                    <pic:cNvPicPr>
                      <a:picLocks noChangeAspect="1"/>
                    </pic:cNvPicPr>
                  </pic:nvPicPr>
                  <pic:blipFill>
                    <a:blip r:embed="rId20"/>
                    <a:stretch>
                      <a:fillRect/>
                    </a:stretch>
                  </pic:blipFill>
                  <pic:spPr>
                    <a:xfrm>
                      <a:off x="0" y="0"/>
                      <a:ext cx="6191250" cy="27051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both"/>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6.建筑/工程类职位人才需求大幅下滑</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2024年第四季度，广西人才网中建筑/工程类职位的需求人才数为3016人，比上年同期的4597人减少1581人，同比下滑34.39%，环比下滑27.08%。其中，建筑工程师/注册建筑师、土木/土建工程师、工程造价师/预结算/审计职位的人才需求减少量排名前三，与上年同期相比合计减少943人，同比下滑58.28%，环比下滑45.65%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drawing>
          <wp:inline distT="0" distB="0" distL="114300" distR="114300">
            <wp:extent cx="6191250" cy="2781300"/>
            <wp:effectExtent l="0" t="0" r="0" b="0"/>
            <wp:docPr id="18"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73"/>
                    <pic:cNvPicPr>
                      <a:picLocks noChangeAspect="1"/>
                    </pic:cNvPicPr>
                  </pic:nvPicPr>
                  <pic:blipFill>
                    <a:blip r:embed="rId21"/>
                    <a:stretch>
                      <a:fillRect/>
                    </a:stretch>
                  </pic:blipFill>
                  <pic:spPr>
                    <a:xfrm>
                      <a:off x="0" y="0"/>
                      <a:ext cx="6191250" cy="27813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2"/>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（二）超四成职位类别的人才供应量出现下滑</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2024年第四季度，在广西人才网主要职位类别中，有超过四成职位类别的人才供应量出现不同程度的下滑。其中，人才供应量同比减少最多的职位类别是建筑/工程类，求职人才数与上年同期相比减少8528人，同比下滑15.00%；其次是财务/税务/审计/统计类，求职人才数与上年同期相比减少2738人，同比下滑6.96%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求职人才数前十名见下图：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drawing>
          <wp:inline distT="0" distB="0" distL="114300" distR="114300">
            <wp:extent cx="6191250" cy="3838575"/>
            <wp:effectExtent l="0" t="0" r="0" b="9525"/>
            <wp:docPr id="19"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74"/>
                    <pic:cNvPicPr>
                      <a:picLocks noChangeAspect="1"/>
                    </pic:cNvPicPr>
                  </pic:nvPicPr>
                  <pic:blipFill>
                    <a:blip r:embed="rId22"/>
                    <a:stretch>
                      <a:fillRect/>
                    </a:stretch>
                  </pic:blipFill>
                  <pic:spPr>
                    <a:xfrm>
                      <a:off x="0" y="0"/>
                      <a:ext cx="6191250" cy="38385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1.建筑/工程类职位人才供应量回落明显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2024年第四季度，广西人才网中建筑/工程类职位的人才供应量依旧位居榜首，但出现较明显回落态势，求职人才数为48337人，与上年同期的56865人相比减少8528人，同比下滑15.00%，环比下滑15.25%。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drawing>
          <wp:inline distT="0" distB="0" distL="114300" distR="114300">
            <wp:extent cx="6191250" cy="2743200"/>
            <wp:effectExtent l="0" t="0" r="0" b="0"/>
            <wp:docPr id="20"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75"/>
                    <pic:cNvPicPr>
                      <a:picLocks noChangeAspect="1"/>
                    </pic:cNvPicPr>
                  </pic:nvPicPr>
                  <pic:blipFill>
                    <a:blip r:embed="rId23"/>
                    <a:stretch>
                      <a:fillRect/>
                    </a:stretch>
                  </pic:blipFill>
                  <pic:spPr>
                    <a:xfrm>
                      <a:off x="0" y="0"/>
                      <a:ext cx="6191250" cy="27432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2.房地产开发/经纪/中介类人才供应量持续走低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2024年第四季度，广西人才网中房地产开发/经纪/中介类职位的求职人才数为4218人，与上年同期的5358人相比减少1140人，同比下滑21.28%，环比下滑12.42%。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 </w:t>
      </w: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drawing>
          <wp:inline distT="0" distB="0" distL="114300" distR="114300">
            <wp:extent cx="6191250" cy="2809875"/>
            <wp:effectExtent l="0" t="0" r="0" b="9525"/>
            <wp:docPr id="21"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76"/>
                    <pic:cNvPicPr>
                      <a:picLocks noChangeAspect="1"/>
                    </pic:cNvPicPr>
                  </pic:nvPicPr>
                  <pic:blipFill>
                    <a:blip r:embed="rId24"/>
                    <a:stretch>
                      <a:fillRect/>
                    </a:stretch>
                  </pic:blipFill>
                  <pic:spPr>
                    <a:xfrm>
                      <a:off x="0" y="0"/>
                      <a:ext cx="6191250" cy="28098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3.传统管理类职位人才供应量出现回落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2024年第四季度，广西人才网中传统管理类职位</w:t>
      </w: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（包含行政/文职/后勤类、人力资源/人事类、财务/税务/审计/统计类职位，下同）</w:t>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的求职人才数为97080人，与上年同期的98213人相比减少1133人，同比下滑1.15%，环比下滑14.57%。其中，财务/税务/审计/统计类、人力资源/人事类职位的人才供应量回落明显，求职人才数分别为36580人和13328人，与上年同期相比分别减少2738人和356人，同比降幅分别为6.96%和2.60%，环比降幅分别为12.62%和15.18%；而行政/文职/后勤类职位的人才供应量同比实现增长，求职人才数为47172人，虽环比下降15.85%，但比上年同期仍增加1961人，同比仍增长4.34%。</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drawing>
          <wp:inline distT="0" distB="0" distL="114300" distR="114300">
            <wp:extent cx="6191250" cy="2762250"/>
            <wp:effectExtent l="0" t="0" r="0" b="0"/>
            <wp:docPr id="22"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77"/>
                    <pic:cNvPicPr>
                      <a:picLocks noChangeAspect="1"/>
                    </pic:cNvPicPr>
                  </pic:nvPicPr>
                  <pic:blipFill>
                    <a:blip r:embed="rId25"/>
                    <a:stretch>
                      <a:fillRect/>
                    </a:stretch>
                  </pic:blipFill>
                  <pic:spPr>
                    <a:xfrm>
                      <a:off x="0" y="0"/>
                      <a:ext cx="6191250" cy="276225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4.生产制造/工厂管理类职位人才供应量同比实现增长</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2024年第四季度，广西人才网中生产制造/工厂管理类职位的人才供应量达到13457人，虽与上季度相比回落12.47%，但与上年同期的12202人相比仍有增长，增加1255人，同比增长10.29%。</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drawing>
          <wp:inline distT="0" distB="0" distL="114300" distR="114300">
            <wp:extent cx="6191250" cy="2752725"/>
            <wp:effectExtent l="0" t="0" r="0" b="9525"/>
            <wp:docPr id="23"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78"/>
                    <pic:cNvPicPr>
                      <a:picLocks noChangeAspect="1"/>
                    </pic:cNvPicPr>
                  </pic:nvPicPr>
                  <pic:blipFill>
                    <a:blip r:embed="rId26"/>
                    <a:stretch>
                      <a:fillRect/>
                    </a:stretch>
                  </pic:blipFill>
                  <pic:spPr>
                    <a:xfrm>
                      <a:off x="0" y="0"/>
                      <a:ext cx="6191250" cy="27527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5.主播/运营类职位人才供应量回落，但仍维持较高水平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2024年第四季度，广西人才网中主播/运营类职位</w:t>
      </w: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（包含网络/互联网运营类、新媒体运营类、主播/视频类等职位，详见附表1，下同）</w:t>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的人才供应量虽与上季度相比回落19.09%，但从走势看，依旧维持在9千人以上的较高水平。本季度求职人才数为9268人，比上年同期的8364人增加904人，同比增长10.81%。其中，主播/视频类、新媒体运营类职位是该类职位人才供应的主要增长点，这两个职位的求职人才数分别为2280人和2648人，比上年同期增加546人和496人，同比涨幅分别为31.49%和23.05%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drawing>
          <wp:inline distT="0" distB="0" distL="114300" distR="114300">
            <wp:extent cx="6191250" cy="2733675"/>
            <wp:effectExtent l="0" t="0" r="0" b="9525"/>
            <wp:docPr id="24"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79"/>
                    <pic:cNvPicPr>
                      <a:picLocks noChangeAspect="1"/>
                    </pic:cNvPicPr>
                  </pic:nvPicPr>
                  <pic:blipFill>
                    <a:blip r:embed="rId27"/>
                    <a:stretch>
                      <a:fillRect/>
                    </a:stretch>
                  </pic:blipFill>
                  <pic:spPr>
                    <a:xfrm>
                      <a:off x="0" y="0"/>
                      <a:ext cx="6191250" cy="27336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6.IT/技术类职位人才供应量同比小幅增长</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2024年第四季度，广西人才网中IT/技术类职位</w:t>
      </w: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（包含</w:t>
      </w:r>
      <w:r>
        <w:rPr>
          <w:rFonts w:hint="eastAsia" w:ascii="微软雅黑" w:hAnsi="微软雅黑" w:eastAsia="微软雅黑" w:cs="微软雅黑"/>
          <w:b/>
          <w:i w:val="0"/>
          <w:caps w:val="0"/>
          <w:color w:val="333333"/>
          <w:spacing w:val="0"/>
          <w:kern w:val="0"/>
          <w:sz w:val="21"/>
          <w:szCs w:val="21"/>
          <w:bdr w:val="none" w:color="auto" w:sz="0" w:space="0"/>
          <w:shd w:val="clear" w:fill="FFFFFF"/>
          <w:lang w:val="en-US" w:eastAsia="zh-CN" w:bidi="ar"/>
        </w:rPr>
        <w:t> </w:t>
      </w: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IT技术/项目管理类、前后端开发类、人工智能/算法类等九类职位，详见附表1，下同）</w:t>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的求职人才数为17651人，与上年同期的17390人相比增加261人，同比增长1.50%。其中，运维/质量管理类、测试类职位的求职人才数增长较多，分别比上年同期增加507人和203人，涨幅分别为12.37%和14.31%。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drawing>
          <wp:inline distT="0" distB="0" distL="114300" distR="114300">
            <wp:extent cx="6191250" cy="2952750"/>
            <wp:effectExtent l="0" t="0" r="0" b="0"/>
            <wp:docPr id="25"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80"/>
                    <pic:cNvPicPr>
                      <a:picLocks noChangeAspect="1"/>
                    </pic:cNvPicPr>
                  </pic:nvPicPr>
                  <pic:blipFill>
                    <a:blip r:embed="rId28"/>
                    <a:stretch>
                      <a:fillRect/>
                    </a:stretch>
                  </pic:blipFill>
                  <pic:spPr>
                    <a:xfrm>
                      <a:off x="0" y="0"/>
                      <a:ext cx="6191250" cy="295275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（三）总体就业竞争压力依旧存在，职位类别供需不均衡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2024年第四季度广西人才网总人才供求比为4.14，比上年同期减少0.67，总体就业竞争压力有所减缓，但依旧存在。在各种类别职位中，人才供需不均衡，结构性矛盾仍较明显。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1.职位人才竞争情况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2024年第四季度，广西人才网中人才供求比排名前十的职位类别需求人才数合计为5974人，占比为6.12%，而求职人才数达到144741人，占比为35.80%，合计人才供求比为24.23。化工类、文字媒体/写作类、生物/医药/医疗器械类等职位的人才供求比排名前三，分别为71.19、46.16和43.68。</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职位大类人才供求比前十位见下图：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drawing>
          <wp:inline distT="0" distB="0" distL="114300" distR="114300">
            <wp:extent cx="6191250" cy="3057525"/>
            <wp:effectExtent l="0" t="0" r="0" b="9525"/>
            <wp:docPr id="26"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81"/>
                    <pic:cNvPicPr>
                      <a:picLocks noChangeAspect="1"/>
                    </pic:cNvPicPr>
                  </pic:nvPicPr>
                  <pic:blipFill>
                    <a:blip r:embed="rId29"/>
                    <a:stretch>
                      <a:fillRect/>
                    </a:stretch>
                  </pic:blipFill>
                  <pic:spPr>
                    <a:xfrm>
                      <a:off x="0" y="0"/>
                      <a:ext cx="6191250" cy="30575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从具体职位看，在人才需求量具有一定规模的职位人才竞争激烈程度的前二十名具体职位中，排名前三的职位均超过22个人竞争1个岗位。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具体职位人才供求比前二十位见下图：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drawing>
          <wp:inline distT="0" distB="0" distL="114300" distR="114300">
            <wp:extent cx="6191250" cy="3171825"/>
            <wp:effectExtent l="0" t="0" r="0" b="9525"/>
            <wp:docPr id="27"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82"/>
                    <pic:cNvPicPr>
                      <a:picLocks noChangeAspect="1"/>
                    </pic:cNvPicPr>
                  </pic:nvPicPr>
                  <pic:blipFill>
                    <a:blip r:embed="rId30"/>
                    <a:stretch>
                      <a:fillRect/>
                    </a:stretch>
                  </pic:blipFill>
                  <pic:spPr>
                    <a:xfrm>
                      <a:off x="0" y="0"/>
                      <a:ext cx="6191250" cy="31718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2.职位人才紧缺情况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从主要职位大类看，2024年第四季度，广西人才网中的技工类、生产制造/工厂管理类职位类别出现人才紧缺情况，人才供求比小于1，分别为0.51和0.42。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职位大类人才供求比后十位见下图：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drawing>
          <wp:inline distT="0" distB="0" distL="114300" distR="114300">
            <wp:extent cx="6191250" cy="3057525"/>
            <wp:effectExtent l="0" t="0" r="0" b="9525"/>
            <wp:docPr id="28"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83"/>
                    <pic:cNvPicPr>
                      <a:picLocks noChangeAspect="1"/>
                    </pic:cNvPicPr>
                  </pic:nvPicPr>
                  <pic:blipFill>
                    <a:blip r:embed="rId31"/>
                    <a:stretch>
                      <a:fillRect/>
                    </a:stretch>
                  </pic:blipFill>
                  <pic:spPr>
                    <a:xfrm>
                      <a:off x="0" y="0"/>
                      <a:ext cx="6191250" cy="305752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从用人单位最急需人才的前二十名具体职位排名可看到，排名前三的均为生产制造、技工类职位，其中工人/操作员的人才缺口较大，达到23477人，组装工/包装工、普工/杂工职位的人才缺口分别为6763人和3052人；安检员、检验员、电话销售员的人才缺口也不小，均超过1000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drawing>
          <wp:inline distT="0" distB="0" distL="114300" distR="114300">
            <wp:extent cx="6191250" cy="5524500"/>
            <wp:effectExtent l="0" t="0" r="0" b="0"/>
            <wp:docPr id="29"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84"/>
                    <pic:cNvPicPr>
                      <a:picLocks noChangeAspect="1"/>
                    </pic:cNvPicPr>
                  </pic:nvPicPr>
                  <pic:blipFill>
                    <a:blip r:embed="rId32"/>
                    <a:stretch>
                      <a:fillRect/>
                    </a:stretch>
                  </pic:blipFill>
                  <pic:spPr>
                    <a:xfrm>
                      <a:off x="0" y="0"/>
                      <a:ext cx="6191250" cy="552450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附表1：</w:t>
      </w:r>
    </w:p>
    <w:tbl>
      <w:tblPr>
        <w:tblW w:w="10172" w:type="dxa"/>
        <w:jc w:val="center"/>
        <w:tblInd w:w="-93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
      <w:tblGrid>
        <w:gridCol w:w="750"/>
        <w:gridCol w:w="2896"/>
        <w:gridCol w:w="960"/>
        <w:gridCol w:w="960"/>
        <w:gridCol w:w="960"/>
        <w:gridCol w:w="1200"/>
        <w:gridCol w:w="1230"/>
        <w:gridCol w:w="12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jc w:val="center"/>
        </w:trPr>
        <w:tc>
          <w:tcPr>
            <w:tcW w:w="10172" w:type="dxa"/>
            <w:gridSpan w:val="8"/>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仿宋_GB2312" w:eastAsia="仿宋_GB2312" w:cs="仿宋_GB2312" w:hAnsiTheme="minorHAnsi"/>
                <w:b/>
                <w:kern w:val="0"/>
                <w:sz w:val="27"/>
                <w:szCs w:val="27"/>
                <w:bdr w:val="none" w:color="auto" w:sz="0" w:space="0"/>
                <w:lang w:val="en-US" w:eastAsia="zh-CN" w:bidi="ar"/>
              </w:rPr>
              <w:t>2024年</w:t>
            </w:r>
            <w:r>
              <w:rPr>
                <w:rFonts w:hint="eastAsia" w:ascii="仿宋_GB2312" w:eastAsia="仿宋_GB2312" w:cs="仿宋_GB2312" w:hAnsiTheme="minorHAnsi"/>
                <w:b/>
                <w:kern w:val="0"/>
                <w:sz w:val="27"/>
                <w:szCs w:val="27"/>
                <w:bdr w:val="none" w:color="auto" w:sz="0" w:space="0"/>
                <w:lang w:val="en-US" w:eastAsia="zh-CN" w:bidi="ar"/>
              </w:rPr>
              <w:t>第四季度主要职位类别人才供求情况表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tcBorders>
              <w:top w:val="single" w:color="000000" w:sz="8" w:space="0"/>
              <w:left w:val="single" w:color="000000" w:sz="8" w:space="0"/>
              <w:bottom w:val="single" w:color="000000" w:sz="8" w:space="0"/>
              <w:right w:val="single" w:color="000000" w:sz="8" w:space="0"/>
            </w:tcBorders>
            <w:shd w:val="clear" w:color="auto" w:fill="7AA0CD"/>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b/>
                <w:kern w:val="0"/>
                <w:sz w:val="24"/>
                <w:szCs w:val="24"/>
                <w:bdr w:val="none" w:color="auto" w:sz="0" w:space="0"/>
                <w:lang w:val="en-US" w:eastAsia="zh-CN" w:bidi="ar"/>
              </w:rPr>
              <w:t>序号</w:t>
            </w:r>
          </w:p>
        </w:tc>
        <w:tc>
          <w:tcPr>
            <w:tcW w:w="2896" w:type="dxa"/>
            <w:tcBorders>
              <w:top w:val="single" w:color="000000" w:sz="8" w:space="0"/>
              <w:left w:val="single" w:color="000000" w:sz="8" w:space="0"/>
              <w:bottom w:val="single" w:color="000000" w:sz="8" w:space="0"/>
              <w:right w:val="single" w:color="000000" w:sz="8" w:space="0"/>
            </w:tcBorders>
            <w:shd w:val="clear" w:color="auto" w:fill="7AA0CD"/>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b/>
                <w:kern w:val="0"/>
                <w:sz w:val="24"/>
                <w:szCs w:val="24"/>
                <w:bdr w:val="none" w:color="auto" w:sz="0" w:space="0"/>
                <w:lang w:val="en-US" w:eastAsia="zh-CN" w:bidi="ar"/>
              </w:rPr>
              <w:t>职位类别</w:t>
            </w:r>
          </w:p>
        </w:tc>
        <w:tc>
          <w:tcPr>
            <w:tcW w:w="960" w:type="dxa"/>
            <w:tcBorders>
              <w:top w:val="single" w:color="000000" w:sz="8" w:space="0"/>
              <w:left w:val="single" w:color="000000" w:sz="8" w:space="0"/>
              <w:bottom w:val="single" w:color="000000" w:sz="8" w:space="0"/>
              <w:right w:val="single" w:color="000000" w:sz="8" w:space="0"/>
            </w:tcBorders>
            <w:shd w:val="clear" w:color="auto" w:fill="7AA0CD"/>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b/>
                <w:kern w:val="0"/>
                <w:sz w:val="24"/>
                <w:szCs w:val="24"/>
                <w:bdr w:val="none" w:color="auto" w:sz="0" w:space="0"/>
                <w:lang w:val="en-US" w:eastAsia="zh-CN" w:bidi="ar"/>
              </w:rPr>
              <w:t>求职</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b/>
                <w:kern w:val="0"/>
                <w:sz w:val="24"/>
                <w:szCs w:val="24"/>
                <w:bdr w:val="none" w:color="auto" w:sz="0" w:space="0"/>
                <w:lang w:val="en-US" w:eastAsia="zh-CN" w:bidi="ar"/>
              </w:rPr>
              <w:t>人才数</w:t>
            </w:r>
          </w:p>
        </w:tc>
        <w:tc>
          <w:tcPr>
            <w:tcW w:w="960" w:type="dxa"/>
            <w:tcBorders>
              <w:top w:val="single" w:color="000000" w:sz="8" w:space="0"/>
              <w:left w:val="single" w:color="000000" w:sz="8" w:space="0"/>
              <w:bottom w:val="single" w:color="000000" w:sz="8" w:space="0"/>
              <w:right w:val="single" w:color="000000" w:sz="8" w:space="0"/>
            </w:tcBorders>
            <w:shd w:val="clear" w:color="auto" w:fill="7AA0CD"/>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b/>
                <w:kern w:val="0"/>
                <w:sz w:val="24"/>
                <w:szCs w:val="24"/>
                <w:bdr w:val="none" w:color="auto" w:sz="0" w:space="0"/>
                <w:lang w:val="en-US" w:eastAsia="zh-CN" w:bidi="ar"/>
              </w:rPr>
              <w:t>需求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b/>
                <w:kern w:val="0"/>
                <w:sz w:val="24"/>
                <w:szCs w:val="24"/>
                <w:bdr w:val="none" w:color="auto" w:sz="0" w:space="0"/>
                <w:lang w:val="en-US" w:eastAsia="zh-CN" w:bidi="ar"/>
              </w:rPr>
              <w:t>人才数</w:t>
            </w:r>
          </w:p>
        </w:tc>
        <w:tc>
          <w:tcPr>
            <w:tcW w:w="960" w:type="dxa"/>
            <w:tcBorders>
              <w:top w:val="single" w:color="000000" w:sz="8" w:space="0"/>
              <w:left w:val="single" w:color="000000" w:sz="8" w:space="0"/>
              <w:bottom w:val="single" w:color="000000" w:sz="8" w:space="0"/>
              <w:right w:val="single" w:color="000000" w:sz="8" w:space="0"/>
            </w:tcBorders>
            <w:shd w:val="clear" w:color="auto" w:fill="7AA0CD"/>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b/>
                <w:kern w:val="0"/>
                <w:sz w:val="24"/>
                <w:szCs w:val="24"/>
                <w:bdr w:val="none" w:color="auto" w:sz="0" w:space="0"/>
                <w:lang w:val="en-US" w:eastAsia="zh-CN" w:bidi="ar"/>
              </w:rPr>
              <w:t>人才</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b/>
                <w:kern w:val="0"/>
                <w:sz w:val="24"/>
                <w:szCs w:val="24"/>
                <w:bdr w:val="none" w:color="auto" w:sz="0" w:space="0"/>
                <w:lang w:val="en-US" w:eastAsia="zh-CN" w:bidi="ar"/>
              </w:rPr>
              <w:t>供求比</w:t>
            </w:r>
          </w:p>
        </w:tc>
        <w:tc>
          <w:tcPr>
            <w:tcW w:w="1200" w:type="dxa"/>
            <w:tcBorders>
              <w:top w:val="single" w:color="000000" w:sz="8" w:space="0"/>
              <w:left w:val="single" w:color="000000" w:sz="8" w:space="0"/>
              <w:bottom w:val="single" w:color="000000" w:sz="8" w:space="0"/>
              <w:right w:val="single" w:color="000000" w:sz="8" w:space="0"/>
            </w:tcBorders>
            <w:shd w:val="clear" w:color="auto" w:fill="7AA0CD"/>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b/>
                <w:kern w:val="0"/>
                <w:sz w:val="24"/>
                <w:szCs w:val="24"/>
                <w:bdr w:val="none" w:color="auto" w:sz="0" w:space="0"/>
                <w:lang w:val="en-US" w:eastAsia="zh-CN" w:bidi="ar"/>
              </w:rPr>
              <w:t>求职人才数增长率</w:t>
            </w:r>
          </w:p>
        </w:tc>
        <w:tc>
          <w:tcPr>
            <w:tcW w:w="1230" w:type="dxa"/>
            <w:tcBorders>
              <w:top w:val="single" w:color="000000" w:sz="8" w:space="0"/>
              <w:left w:val="single" w:color="000000" w:sz="8" w:space="0"/>
              <w:bottom w:val="single" w:color="000000" w:sz="8" w:space="0"/>
              <w:right w:val="single" w:color="000000" w:sz="8" w:space="0"/>
            </w:tcBorders>
            <w:shd w:val="clear" w:color="auto" w:fill="7AA0CD"/>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b/>
                <w:kern w:val="0"/>
                <w:sz w:val="24"/>
                <w:szCs w:val="24"/>
                <w:bdr w:val="none" w:color="auto" w:sz="0" w:space="0"/>
                <w:lang w:val="en-US" w:eastAsia="zh-CN" w:bidi="ar"/>
              </w:rPr>
              <w:t>需求人才数增长率</w:t>
            </w:r>
          </w:p>
        </w:tc>
        <w:tc>
          <w:tcPr>
            <w:tcW w:w="1216" w:type="dxa"/>
            <w:tcBorders>
              <w:top w:val="single" w:color="000000" w:sz="8" w:space="0"/>
              <w:left w:val="single" w:color="000000" w:sz="8" w:space="0"/>
              <w:bottom w:val="single" w:color="000000" w:sz="8" w:space="0"/>
              <w:right w:val="single" w:color="000000" w:sz="8" w:space="0"/>
            </w:tcBorders>
            <w:shd w:val="clear" w:color="auto" w:fill="7AA0CD"/>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b/>
                <w:kern w:val="0"/>
                <w:sz w:val="24"/>
                <w:szCs w:val="24"/>
                <w:bdr w:val="none" w:color="auto" w:sz="0" w:space="0"/>
                <w:lang w:val="en-US" w:eastAsia="zh-CN" w:bidi="ar"/>
              </w:rPr>
              <w:t>人才供求比增长量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1</w:t>
            </w: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农林渔牧类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3190</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392</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8.14</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-0.37%</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-0.25%</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2</w:t>
            </w: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高级管理类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4834</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528</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9.16</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-2.78%</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-41.27%</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3</w:t>
            </w: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人力资源/人事类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13328</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1338</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9.96</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-2.60%</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-21.48%</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4</w:t>
            </w: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行政/文职/后勤类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47172</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2051</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23.00</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4.34%</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-27.98%</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7.12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5</w:t>
            </w: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财务/税务/审计/统计类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36580</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1559</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23.46</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-6.96%</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-4.59%</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6</w:t>
            </w: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生产制造/工厂管理类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13457</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32038</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0.42</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10.29%</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146.12%</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7</w:t>
            </w: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质量保证/品质管理类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4990</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862</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5.79</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11.46%</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-30.37%</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8</w:t>
            </w: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采购类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3123</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211</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14.80</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4.97%</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-1.86%</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9</w:t>
            </w: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市场/营销/策划类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7950</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1577</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5.04</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-7.42%</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-28.32%</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10</w:t>
            </w: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品牌/推广类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1245</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457</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2.72</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0.81%</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-39.07%</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11</w:t>
            </w: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商务/渠道/拓展/招商类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879</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327</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2.69</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3.66%</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-40.76%</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12</w:t>
            </w: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销售类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12064</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8099</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1.49</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-6.91%</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24.54%</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13</w:t>
            </w: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客服/热线类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5044</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2449</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2.06</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-6.63%</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-39.16%</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14</w:t>
            </w: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电力/能源类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6034</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478</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12.62</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7.83%</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-24.72%</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15</w:t>
            </w: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矿产/测绘类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1536</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265</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5.80</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1.12%</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92.03%</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-5.21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16</w:t>
            </w: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机械/机器设备/仪器仪表类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7536</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3196</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2.36</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4.75%</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95.24%</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17</w:t>
            </w: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化工类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4485</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63</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71.19</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12.69%</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-73.64%</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54.54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18</w:t>
            </w: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生物/医药/医疗器械类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6858</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157</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43.68</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8.91%</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-49.68%</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23.50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19</w:t>
            </w: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汽车4S/维修/驾培类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2092</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189</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11.07</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-7.02%</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-14.09%</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20</w:t>
            </w: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轻工/食品/工艺品类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2182</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203</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10.75</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30.11%</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62.40%</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21</w:t>
            </w: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服装/纺织/皮革类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126</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38</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3.32</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14.55%</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-78.65%</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vMerge w:val="restart"/>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22</w:t>
            </w: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b/>
                <w:kern w:val="0"/>
                <w:sz w:val="24"/>
                <w:szCs w:val="24"/>
                <w:bdr w:val="none" w:color="auto" w:sz="0" w:space="0"/>
                <w:lang w:val="en-US" w:eastAsia="zh-CN" w:bidi="ar"/>
              </w:rPr>
              <w:t>IT/技术类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4"/>
                <w:szCs w:val="24"/>
                <w:bdr w:val="none" w:color="auto" w:sz="0" w:space="0"/>
                <w:lang w:val="en-US" w:eastAsia="zh-CN" w:bidi="ar"/>
              </w:rPr>
              <w:t>17651</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4"/>
                <w:szCs w:val="24"/>
                <w:bdr w:val="none" w:color="auto" w:sz="0" w:space="0"/>
                <w:lang w:val="en-US" w:eastAsia="zh-CN" w:bidi="ar"/>
              </w:rPr>
              <w:t>868</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4"/>
                <w:szCs w:val="24"/>
                <w:bdr w:val="none" w:color="auto" w:sz="0" w:space="0"/>
                <w:lang w:val="en-US" w:eastAsia="zh-CN" w:bidi="ar"/>
              </w:rPr>
              <w:t>20.34</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1.50%</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-20.59%</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4.42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vMerge w:val="continue"/>
            <w:tcBorders>
              <w:top w:val="single" w:color="000000" w:sz="8" w:space="0"/>
              <w:left w:val="single" w:color="000000" w:sz="8" w:space="0"/>
              <w:bottom w:val="single" w:color="000000" w:sz="8" w:space="0"/>
              <w:right w:val="single" w:color="000000" w:sz="8" w:space="0"/>
            </w:tcBorders>
            <w:shd w:val="clear"/>
            <w:vAlign w:val="center"/>
          </w:tcPr>
          <w:p>
            <w:pPr>
              <w:rPr>
                <w:rFonts w:hint="eastAsia" w:ascii="宋体"/>
                <w:sz w:val="24"/>
                <w:szCs w:val="24"/>
              </w:rPr>
            </w:pP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IT技术/项目管理类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1863</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82</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22.72</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-5.00%</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-53.41%</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11.58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vMerge w:val="continue"/>
            <w:tcBorders>
              <w:top w:val="single" w:color="000000" w:sz="8" w:space="0"/>
              <w:left w:val="single" w:color="000000" w:sz="8" w:space="0"/>
              <w:bottom w:val="single" w:color="000000" w:sz="8" w:space="0"/>
              <w:right w:val="single" w:color="000000" w:sz="8" w:space="0"/>
            </w:tcBorders>
            <w:shd w:val="clear"/>
            <w:vAlign w:val="center"/>
          </w:tcPr>
          <w:p>
            <w:pPr>
              <w:rPr>
                <w:rFonts w:hint="eastAsia" w:ascii="宋体"/>
                <w:sz w:val="24"/>
                <w:szCs w:val="24"/>
              </w:rPr>
            </w:pP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后端开发类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3541</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85</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41.66</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-5.67%</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-9.57%</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vMerge w:val="continue"/>
            <w:tcBorders>
              <w:top w:val="single" w:color="000000" w:sz="8" w:space="0"/>
              <w:left w:val="single" w:color="000000" w:sz="8" w:space="0"/>
              <w:bottom w:val="single" w:color="000000" w:sz="8" w:space="0"/>
              <w:right w:val="single" w:color="000000" w:sz="8" w:space="0"/>
            </w:tcBorders>
            <w:shd w:val="clear"/>
            <w:vAlign w:val="center"/>
          </w:tcPr>
          <w:p>
            <w:pPr>
              <w:rPr>
                <w:rFonts w:hint="eastAsia" w:ascii="宋体"/>
                <w:sz w:val="24"/>
                <w:szCs w:val="24"/>
              </w:rPr>
            </w:pP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前端开发类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1465</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32</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45.78</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-13.36%</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-33.33%</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10.55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vMerge w:val="continue"/>
            <w:tcBorders>
              <w:top w:val="single" w:color="000000" w:sz="8" w:space="0"/>
              <w:left w:val="single" w:color="000000" w:sz="8" w:space="0"/>
              <w:bottom w:val="single" w:color="000000" w:sz="8" w:space="0"/>
              <w:right w:val="single" w:color="000000" w:sz="8" w:space="0"/>
            </w:tcBorders>
            <w:shd w:val="clear"/>
            <w:vAlign w:val="center"/>
          </w:tcPr>
          <w:p>
            <w:pPr>
              <w:rPr>
                <w:rFonts w:hint="eastAsia" w:ascii="宋体"/>
                <w:sz w:val="24"/>
                <w:szCs w:val="24"/>
              </w:rPr>
            </w:pP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移动开发类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259</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0</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-24.71%</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-100.00%</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vMerge w:val="continue"/>
            <w:tcBorders>
              <w:top w:val="single" w:color="000000" w:sz="8" w:space="0"/>
              <w:left w:val="single" w:color="000000" w:sz="8" w:space="0"/>
              <w:bottom w:val="single" w:color="000000" w:sz="8" w:space="0"/>
              <w:right w:val="single" w:color="000000" w:sz="8" w:space="0"/>
            </w:tcBorders>
            <w:shd w:val="clear"/>
            <w:vAlign w:val="center"/>
          </w:tcPr>
          <w:p>
            <w:pPr>
              <w:rPr>
                <w:rFonts w:hint="eastAsia" w:ascii="宋体"/>
                <w:sz w:val="24"/>
                <w:szCs w:val="24"/>
              </w:rPr>
            </w:pP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人工智能/算法类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305</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86</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3.55</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33.19%</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855.56%</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-21.90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vMerge w:val="continue"/>
            <w:tcBorders>
              <w:top w:val="single" w:color="000000" w:sz="8" w:space="0"/>
              <w:left w:val="single" w:color="000000" w:sz="8" w:space="0"/>
              <w:bottom w:val="single" w:color="000000" w:sz="8" w:space="0"/>
              <w:right w:val="single" w:color="000000" w:sz="8" w:space="0"/>
            </w:tcBorders>
            <w:shd w:val="clear"/>
            <w:vAlign w:val="center"/>
          </w:tcPr>
          <w:p>
            <w:pPr>
              <w:rPr>
                <w:rFonts w:hint="eastAsia" w:ascii="宋体"/>
                <w:sz w:val="24"/>
                <w:szCs w:val="24"/>
              </w:rPr>
            </w:pP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测试类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1622</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90</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18.02</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14.31%</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-29.69%</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6.94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vMerge w:val="continue"/>
            <w:tcBorders>
              <w:top w:val="single" w:color="000000" w:sz="8" w:space="0"/>
              <w:left w:val="single" w:color="000000" w:sz="8" w:space="0"/>
              <w:bottom w:val="single" w:color="000000" w:sz="8" w:space="0"/>
              <w:right w:val="single" w:color="000000" w:sz="8" w:space="0"/>
            </w:tcBorders>
            <w:shd w:val="clear"/>
            <w:vAlign w:val="center"/>
          </w:tcPr>
          <w:p>
            <w:pPr>
              <w:rPr>
                <w:rFonts w:hint="eastAsia" w:ascii="宋体"/>
                <w:sz w:val="24"/>
                <w:szCs w:val="24"/>
              </w:rPr>
            </w:pP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运维/质量管理类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4605</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280</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16.45</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12.37%</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-29.29%</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6.10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vMerge w:val="continue"/>
            <w:tcBorders>
              <w:top w:val="single" w:color="000000" w:sz="8" w:space="0"/>
              <w:left w:val="single" w:color="000000" w:sz="8" w:space="0"/>
              <w:bottom w:val="single" w:color="000000" w:sz="8" w:space="0"/>
              <w:right w:val="single" w:color="000000" w:sz="8" w:space="0"/>
            </w:tcBorders>
            <w:shd w:val="clear"/>
            <w:vAlign w:val="center"/>
          </w:tcPr>
          <w:p>
            <w:pPr>
              <w:rPr>
                <w:rFonts w:hint="eastAsia" w:ascii="宋体"/>
                <w:sz w:val="24"/>
                <w:szCs w:val="24"/>
              </w:rPr>
            </w:pP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售前/售后/技术支持类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2555</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99</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25.81</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-7.73%</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-40.36%</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9.13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vMerge w:val="continue"/>
            <w:tcBorders>
              <w:top w:val="single" w:color="000000" w:sz="8" w:space="0"/>
              <w:left w:val="single" w:color="000000" w:sz="8" w:space="0"/>
              <w:bottom w:val="single" w:color="000000" w:sz="8" w:space="0"/>
              <w:right w:val="single" w:color="000000" w:sz="8" w:space="0"/>
            </w:tcBorders>
            <w:shd w:val="clear"/>
            <w:vAlign w:val="center"/>
          </w:tcPr>
          <w:p>
            <w:pPr>
              <w:rPr>
                <w:rFonts w:hint="eastAsia" w:ascii="宋体"/>
                <w:sz w:val="24"/>
                <w:szCs w:val="24"/>
              </w:rPr>
            </w:pP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数据/分析类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1436</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114</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12.60</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27.64%</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67.65%</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vMerge w:val="restart"/>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23</w:t>
            </w: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b/>
                <w:kern w:val="0"/>
                <w:sz w:val="24"/>
                <w:szCs w:val="24"/>
                <w:bdr w:val="none" w:color="auto" w:sz="0" w:space="0"/>
                <w:lang w:val="en-US" w:eastAsia="zh-CN" w:bidi="ar"/>
              </w:rPr>
              <w:t>互联网/产品类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4"/>
                <w:szCs w:val="24"/>
                <w:bdr w:val="none" w:color="auto" w:sz="0" w:space="0"/>
                <w:lang w:val="en-US" w:eastAsia="zh-CN" w:bidi="ar"/>
              </w:rPr>
              <w:t>504</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4"/>
                <w:szCs w:val="24"/>
                <w:bdr w:val="none" w:color="auto" w:sz="0" w:space="0"/>
                <w:lang w:val="en-US" w:eastAsia="zh-CN" w:bidi="ar"/>
              </w:rPr>
              <w:t>59</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4"/>
                <w:szCs w:val="24"/>
                <w:bdr w:val="none" w:color="auto" w:sz="0" w:space="0"/>
                <w:lang w:val="en-US" w:eastAsia="zh-CN" w:bidi="ar"/>
              </w:rPr>
              <w:t>8.54</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15.33%</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-36.56%</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3.84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vMerge w:val="continue"/>
            <w:tcBorders>
              <w:top w:val="single" w:color="000000" w:sz="8" w:space="0"/>
              <w:left w:val="single" w:color="000000" w:sz="8" w:space="0"/>
              <w:bottom w:val="single" w:color="000000" w:sz="8" w:space="0"/>
              <w:right w:val="single" w:color="000000" w:sz="8" w:space="0"/>
            </w:tcBorders>
            <w:shd w:val="clear"/>
            <w:vAlign w:val="center"/>
          </w:tcPr>
          <w:p>
            <w:pPr>
              <w:rPr>
                <w:rFonts w:hint="eastAsia" w:ascii="宋体"/>
                <w:sz w:val="24"/>
                <w:szCs w:val="24"/>
              </w:rPr>
            </w:pP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互联网产品经理类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405</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33</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12.27</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9.76%</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-40.00%</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5.56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vMerge w:val="continue"/>
            <w:tcBorders>
              <w:top w:val="single" w:color="000000" w:sz="8" w:space="0"/>
              <w:left w:val="single" w:color="000000" w:sz="8" w:space="0"/>
              <w:bottom w:val="single" w:color="000000" w:sz="8" w:space="0"/>
              <w:right w:val="single" w:color="000000" w:sz="8" w:space="0"/>
            </w:tcBorders>
            <w:shd w:val="clear"/>
            <w:vAlign w:val="center"/>
          </w:tcPr>
          <w:p>
            <w:pPr>
              <w:rPr>
                <w:rFonts w:hint="eastAsia" w:ascii="宋体"/>
                <w:sz w:val="24"/>
                <w:szCs w:val="24"/>
              </w:rPr>
            </w:pP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非互联网产品经理类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99</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26</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3.81</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45.59%</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-31.58%</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vMerge w:val="restart"/>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24</w:t>
            </w: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b/>
                <w:kern w:val="0"/>
                <w:sz w:val="24"/>
                <w:szCs w:val="24"/>
                <w:bdr w:val="none" w:color="auto" w:sz="0" w:space="0"/>
                <w:lang w:val="en-US" w:eastAsia="zh-CN" w:bidi="ar"/>
              </w:rPr>
              <w:t>设计类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4"/>
                <w:szCs w:val="24"/>
                <w:bdr w:val="none" w:color="auto" w:sz="0" w:space="0"/>
                <w:lang w:val="en-US" w:eastAsia="zh-CN" w:bidi="ar"/>
              </w:rPr>
              <w:t>6536</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4"/>
                <w:szCs w:val="24"/>
                <w:bdr w:val="none" w:color="auto" w:sz="0" w:space="0"/>
                <w:lang w:val="en-US" w:eastAsia="zh-CN" w:bidi="ar"/>
              </w:rPr>
              <w:t>288</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4"/>
                <w:szCs w:val="24"/>
                <w:bdr w:val="none" w:color="auto" w:sz="0" w:space="0"/>
                <w:lang w:val="en-US" w:eastAsia="zh-CN" w:bidi="ar"/>
              </w:rPr>
              <w:t>22.69</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1.87%</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-39.50%</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9.22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vMerge w:val="continue"/>
            <w:tcBorders>
              <w:top w:val="single" w:color="000000" w:sz="8" w:space="0"/>
              <w:left w:val="single" w:color="000000" w:sz="8" w:space="0"/>
              <w:bottom w:val="single" w:color="000000" w:sz="8" w:space="0"/>
              <w:right w:val="single" w:color="000000" w:sz="8" w:space="0"/>
            </w:tcBorders>
            <w:shd w:val="clear"/>
            <w:vAlign w:val="center"/>
          </w:tcPr>
          <w:p>
            <w:pPr>
              <w:rPr>
                <w:rFonts w:hint="eastAsia" w:ascii="宋体"/>
                <w:sz w:val="24"/>
                <w:szCs w:val="24"/>
              </w:rPr>
            </w:pP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视觉/交互设计类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1365</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53</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25.75</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14.71%</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-7.02%</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vMerge w:val="continue"/>
            <w:tcBorders>
              <w:top w:val="single" w:color="000000" w:sz="8" w:space="0"/>
              <w:left w:val="single" w:color="000000" w:sz="8" w:space="0"/>
              <w:bottom w:val="single" w:color="000000" w:sz="8" w:space="0"/>
              <w:right w:val="single" w:color="000000" w:sz="8" w:space="0"/>
            </w:tcBorders>
            <w:shd w:val="clear"/>
            <w:vAlign w:val="center"/>
          </w:tcPr>
          <w:p>
            <w:pPr>
              <w:rPr>
                <w:rFonts w:hint="eastAsia" w:ascii="宋体"/>
                <w:sz w:val="24"/>
                <w:szCs w:val="24"/>
              </w:rPr>
            </w:pP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动画/动效设计类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108</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7</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15.43</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22.73%</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vMerge w:val="continue"/>
            <w:tcBorders>
              <w:top w:val="single" w:color="000000" w:sz="8" w:space="0"/>
              <w:left w:val="single" w:color="000000" w:sz="8" w:space="0"/>
              <w:bottom w:val="single" w:color="000000" w:sz="8" w:space="0"/>
              <w:right w:val="single" w:color="000000" w:sz="8" w:space="0"/>
            </w:tcBorders>
            <w:shd w:val="clear"/>
            <w:vAlign w:val="center"/>
          </w:tcPr>
          <w:p>
            <w:pPr>
              <w:rPr>
                <w:rFonts w:hint="eastAsia" w:ascii="宋体"/>
                <w:sz w:val="24"/>
                <w:szCs w:val="24"/>
              </w:rPr>
            </w:pP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艺术/美术设计类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3366</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111</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30.32</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-3.66%</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-32.73%</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9.15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vMerge w:val="continue"/>
            <w:tcBorders>
              <w:top w:val="single" w:color="000000" w:sz="8" w:space="0"/>
              <w:left w:val="single" w:color="000000" w:sz="8" w:space="0"/>
              <w:bottom w:val="single" w:color="000000" w:sz="8" w:space="0"/>
              <w:right w:val="single" w:color="000000" w:sz="8" w:space="0"/>
            </w:tcBorders>
            <w:shd w:val="clear"/>
            <w:vAlign w:val="center"/>
          </w:tcPr>
          <w:p>
            <w:pPr>
              <w:rPr>
                <w:rFonts w:hint="eastAsia" w:ascii="宋体"/>
                <w:sz w:val="24"/>
                <w:szCs w:val="24"/>
              </w:rPr>
            </w:pP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建筑装饰/室内设计类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1551</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110</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14.10</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3.88%</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-52.79%</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7.69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vMerge w:val="continue"/>
            <w:tcBorders>
              <w:top w:val="single" w:color="000000" w:sz="8" w:space="0"/>
              <w:left w:val="single" w:color="000000" w:sz="8" w:space="0"/>
              <w:bottom w:val="single" w:color="000000" w:sz="8" w:space="0"/>
              <w:right w:val="single" w:color="000000" w:sz="8" w:space="0"/>
            </w:tcBorders>
            <w:shd w:val="clear"/>
            <w:vAlign w:val="center"/>
          </w:tcPr>
          <w:p>
            <w:pPr>
              <w:rPr>
                <w:rFonts w:hint="eastAsia" w:ascii="宋体"/>
                <w:sz w:val="24"/>
                <w:szCs w:val="24"/>
              </w:rPr>
            </w:pP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工业设计类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146</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7</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20.86</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-3.31%</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-66.67%</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13.67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vMerge w:val="restart"/>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25</w:t>
            </w: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b/>
                <w:kern w:val="0"/>
                <w:sz w:val="24"/>
                <w:szCs w:val="24"/>
                <w:bdr w:val="none" w:color="auto" w:sz="0" w:space="0"/>
                <w:lang w:val="en-US" w:eastAsia="zh-CN" w:bidi="ar"/>
              </w:rPr>
              <w:t>主播/运营类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4"/>
                <w:szCs w:val="24"/>
                <w:bdr w:val="none" w:color="auto" w:sz="0" w:space="0"/>
                <w:lang w:val="en-US" w:eastAsia="zh-CN" w:bidi="ar"/>
              </w:rPr>
              <w:t>9268</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4"/>
                <w:szCs w:val="24"/>
                <w:bdr w:val="none" w:color="auto" w:sz="0" w:space="0"/>
                <w:lang w:val="en-US" w:eastAsia="zh-CN" w:bidi="ar"/>
              </w:rPr>
              <w:t>1694</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4"/>
                <w:szCs w:val="24"/>
                <w:bdr w:val="none" w:color="auto" w:sz="0" w:space="0"/>
                <w:lang w:val="en-US" w:eastAsia="zh-CN" w:bidi="ar"/>
              </w:rPr>
              <w:t>5.47</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10.81%</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-16.22%</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1.33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vMerge w:val="continue"/>
            <w:tcBorders>
              <w:top w:val="single" w:color="000000" w:sz="8" w:space="0"/>
              <w:left w:val="single" w:color="000000" w:sz="8" w:space="0"/>
              <w:bottom w:val="single" w:color="000000" w:sz="8" w:space="0"/>
              <w:right w:val="single" w:color="000000" w:sz="8" w:space="0"/>
            </w:tcBorders>
            <w:shd w:val="clear"/>
            <w:vAlign w:val="center"/>
          </w:tcPr>
          <w:p>
            <w:pPr>
              <w:rPr>
                <w:rFonts w:hint="eastAsia" w:ascii="宋体"/>
                <w:sz w:val="24"/>
                <w:szCs w:val="24"/>
              </w:rPr>
            </w:pP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运营管理类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620</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56</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11.07</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19.69%</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-49.55%</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6.40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vMerge w:val="continue"/>
            <w:tcBorders>
              <w:top w:val="single" w:color="000000" w:sz="8" w:space="0"/>
              <w:left w:val="single" w:color="000000" w:sz="8" w:space="0"/>
              <w:bottom w:val="single" w:color="000000" w:sz="8" w:space="0"/>
              <w:right w:val="single" w:color="000000" w:sz="8" w:space="0"/>
            </w:tcBorders>
            <w:shd w:val="clear"/>
            <w:vAlign w:val="center"/>
          </w:tcPr>
          <w:p>
            <w:pPr>
              <w:rPr>
                <w:rFonts w:hint="eastAsia" w:ascii="宋体"/>
                <w:sz w:val="24"/>
                <w:szCs w:val="24"/>
              </w:rPr>
            </w:pP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网络/互联网运营类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1397</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147</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9.50</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-11.69%</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-36.91%</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vMerge w:val="continue"/>
            <w:tcBorders>
              <w:top w:val="single" w:color="000000" w:sz="8" w:space="0"/>
              <w:left w:val="single" w:color="000000" w:sz="8" w:space="0"/>
              <w:bottom w:val="single" w:color="000000" w:sz="8" w:space="0"/>
              <w:right w:val="single" w:color="000000" w:sz="8" w:space="0"/>
            </w:tcBorders>
            <w:shd w:val="clear"/>
            <w:vAlign w:val="center"/>
          </w:tcPr>
          <w:p>
            <w:pPr>
              <w:rPr>
                <w:rFonts w:hint="eastAsia" w:ascii="宋体"/>
                <w:sz w:val="24"/>
                <w:szCs w:val="24"/>
              </w:rPr>
            </w:pP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新媒体运营类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2648</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314</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8.43</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23.05%</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-20.10%</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vMerge w:val="continue"/>
            <w:tcBorders>
              <w:top w:val="single" w:color="000000" w:sz="8" w:space="0"/>
              <w:left w:val="single" w:color="000000" w:sz="8" w:space="0"/>
              <w:bottom w:val="single" w:color="000000" w:sz="8" w:space="0"/>
              <w:right w:val="single" w:color="000000" w:sz="8" w:space="0"/>
            </w:tcBorders>
            <w:shd w:val="clear"/>
            <w:vAlign w:val="center"/>
          </w:tcPr>
          <w:p>
            <w:pPr>
              <w:rPr>
                <w:rFonts w:hint="eastAsia" w:ascii="宋体"/>
                <w:sz w:val="24"/>
                <w:szCs w:val="24"/>
              </w:rPr>
            </w:pP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电子商务运营类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2323</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131</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17.73</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-2.31%</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-37.62%</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6.41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vMerge w:val="continue"/>
            <w:tcBorders>
              <w:top w:val="single" w:color="000000" w:sz="8" w:space="0"/>
              <w:left w:val="single" w:color="000000" w:sz="8" w:space="0"/>
              <w:bottom w:val="single" w:color="000000" w:sz="8" w:space="0"/>
              <w:right w:val="single" w:color="000000" w:sz="8" w:space="0"/>
            </w:tcBorders>
            <w:shd w:val="clear"/>
            <w:vAlign w:val="center"/>
          </w:tcPr>
          <w:p>
            <w:pPr>
              <w:rPr>
                <w:rFonts w:hint="eastAsia" w:ascii="宋体"/>
                <w:sz w:val="24"/>
                <w:szCs w:val="24"/>
              </w:rPr>
            </w:pP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主播/视频类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2280</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1046</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2.18</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31.49%</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-2.70%</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26</w:t>
            </w: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手机/通信/硬件类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4484</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459</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9.77</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-3.22%</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21.75%</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27</w:t>
            </w: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电子/电器类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4103</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633</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6.48</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11.04%</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24.36%</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28</w:t>
            </w: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技工类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8157</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15843</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0.51</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9.14%</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6.25%</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29</w:t>
            </w: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建筑/工程类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48337</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3016</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16.03</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-15.00%</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-34.39%</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30</w:t>
            </w: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房地产开发/经纪/中介类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4218</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227</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18.58</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-21.28%</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-38.15%</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31</w:t>
            </w: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物业管理类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5276</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916</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5.76</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-2.71%</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-10.72%</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32</w:t>
            </w: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贸易/进出口类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3343</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158</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21.16</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0.36%</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-22.17%</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33</w:t>
            </w: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物流/仓储类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10014</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3099</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3.23</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1.19%</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32.38%</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34</w:t>
            </w: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交通运输类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5621</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3064</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1.83</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0.77%</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-30.21%</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35</w:t>
            </w: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证券/期货/基金/信托类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1220</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235</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5.19</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-20.62%</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9.30%</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36</w:t>
            </w: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投融资/信贷类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1095</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198</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5.53</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-4.37%</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22.98%</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37</w:t>
            </w: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银行类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3592</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297</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12.09</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-3.85%</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-53.01%</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6.18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38</w:t>
            </w: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保险类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1957</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643</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3.04</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-5.28%</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-13.81%</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39</w:t>
            </w: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广告类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1618</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137</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11.81</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-7.96%</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63.10%</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-9.12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40</w:t>
            </w: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会展/公关/活动类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1005</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42</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23.93</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6.80%</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-76.40%</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18.64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41</w:t>
            </w: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影视类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2131</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264</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8.07</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9.62%</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-48.13%</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42</w:t>
            </w: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文字媒体/写作类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1708</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37</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46.16</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-5.37%</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-55.42%</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24.42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43</w:t>
            </w: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出版/印刷类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333</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21</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15.86</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20.65%</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-47.50%</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8.96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44</w:t>
            </w: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商场/超市/零售类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5588</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985</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5.67</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10.17%</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-16.88%</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45</w:t>
            </w: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餐饮/娱乐类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5463</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2206</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2.48</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17.06%</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-1.47%</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46</w:t>
            </w: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酒店/旅游类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3318</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519</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6.39</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7.17%</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10.19%</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47</w:t>
            </w: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美容/保健类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1005</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125</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8.04</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13.30%</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-51.74%</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48</w:t>
            </w: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翻译类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822</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160</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5.14</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-3.75%</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58.42%</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49</w:t>
            </w: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法律/法务/合规类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3054</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173</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17.65</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-9.00%</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-33.72%</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50</w:t>
            </w: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咨询/顾问/中介类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920</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156</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5.90</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-3.16%</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-27.78%</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51</w:t>
            </w: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培训类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1408</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136</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10.35</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-11.83%</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-1.45%</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52</w:t>
            </w: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医院/医疗/护理类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11343</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561</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20.22</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2.64%</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11.98%</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53</w:t>
            </w: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文教/科研类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19403</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751</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25.84</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-3.55%</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-36.14%</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8.73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54</w:t>
            </w: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环境保护类</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3828</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195</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19.63</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4.33%</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-14.85%</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5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55</w:t>
            </w:r>
          </w:p>
        </w:tc>
        <w:tc>
          <w:tcPr>
            <w:tcW w:w="289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其他职位</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21253</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2912</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7.30</w:t>
            </w:r>
          </w:p>
        </w:tc>
        <w:tc>
          <w:tcPr>
            <w:tcW w:w="120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8.26%</w:t>
            </w:r>
          </w:p>
        </w:tc>
        <w:tc>
          <w:tcPr>
            <w:tcW w:w="1230"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-18.77%</w:t>
            </w:r>
          </w:p>
        </w:tc>
        <w:tc>
          <w:tcPr>
            <w:tcW w:w="1216" w:type="dxa"/>
            <w:tcBorders>
              <w:top w:val="single" w:color="000000" w:sz="8" w:space="0"/>
              <w:left w:val="single" w:color="000000" w:sz="8" w:space="0"/>
              <w:bottom w:val="single" w:color="000000" w:sz="8" w:space="0"/>
              <w:right w:val="single" w:color="000000" w:sz="8" w:space="0"/>
            </w:tcBorders>
            <w:shd w:val="cle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3646" w:type="dxa"/>
            <w:gridSpan w:val="2"/>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b/>
                <w:kern w:val="0"/>
                <w:sz w:val="24"/>
                <w:szCs w:val="24"/>
                <w:bdr w:val="none" w:color="auto" w:sz="0" w:space="0"/>
                <w:lang w:val="en-US" w:eastAsia="zh-CN" w:bidi="ar"/>
              </w:rPr>
              <w:t>总计</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asciiTheme="minorHAnsi" w:hAnsiTheme="minorHAnsi" w:eastAsiaTheme="minorEastAsia" w:cstheme="minorBidi"/>
                <w:b/>
                <w:kern w:val="0"/>
                <w:sz w:val="24"/>
                <w:szCs w:val="24"/>
                <w:bdr w:val="none" w:color="auto" w:sz="0" w:space="0"/>
                <w:lang w:val="en-US" w:eastAsia="zh-CN" w:bidi="ar"/>
              </w:rPr>
              <w:t>404281</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asciiTheme="minorHAnsi" w:hAnsiTheme="minorHAnsi" w:eastAsiaTheme="minorEastAsia" w:cstheme="minorBidi"/>
                <w:b/>
                <w:kern w:val="0"/>
                <w:sz w:val="24"/>
                <w:szCs w:val="24"/>
                <w:bdr w:val="none" w:color="auto" w:sz="0" w:space="0"/>
                <w:lang w:val="en-US" w:eastAsia="zh-CN" w:bidi="ar"/>
              </w:rPr>
              <w:t>97554</w:t>
            </w:r>
          </w:p>
        </w:tc>
        <w:tc>
          <w:tcPr>
            <w:tcW w:w="96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asciiTheme="minorHAnsi" w:hAnsiTheme="minorHAnsi" w:eastAsiaTheme="minorEastAsia" w:cstheme="minorBidi"/>
                <w:b/>
                <w:kern w:val="0"/>
                <w:sz w:val="24"/>
                <w:szCs w:val="24"/>
                <w:bdr w:val="none" w:color="auto" w:sz="0" w:space="0"/>
                <w:lang w:val="en-US" w:eastAsia="zh-CN" w:bidi="ar"/>
              </w:rPr>
              <w:t>4.14</w:t>
            </w:r>
          </w:p>
        </w:tc>
        <w:tc>
          <w:tcPr>
            <w:tcW w:w="120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-1.08%</w:t>
            </w:r>
          </w:p>
        </w:tc>
        <w:tc>
          <w:tcPr>
            <w:tcW w:w="123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14.94%</w:t>
            </w:r>
          </w:p>
        </w:tc>
        <w:tc>
          <w:tcPr>
            <w:tcW w:w="1216"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-0.67</w:t>
            </w:r>
          </w:p>
        </w:tc>
      </w:tr>
    </w:tbl>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333333"/>
          <w:spacing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333333"/>
          <w:spacing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333333"/>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righ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中国广西人才市场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righ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广西人才网</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righ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2025年1月23日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备注：广西人才网（原广西人才网联系统）是以广西人才网为数据库管理中心，整合柳州、桂林、梧州、北海、防城港、钦州、贵港、玉林、百色、贺州、河池、来宾、崇左等市级网站，形成数据库共享、服务内容和服务标准统一、基本覆盖广西全区范围的人才供求信息网络服务系统，在广西网上人才交流业务领域具有一定代表性。</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74504F2"/>
    <w:rsid w:val="374504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2025-02-17T08:19:00Z</dcterms:created>
  <dc:creator>Administrator</dc:creator>
  <cp:lastModifiedBy>Administrator</cp:lastModifiedBy>
  <dcterms:modified xsi:type="dcterms:W3CDTF">2025-02-17T08:20:11Z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