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CD" w:rsidRPr="00061033" w:rsidRDefault="006713CD" w:rsidP="006713CD">
      <w:pPr>
        <w:jc w:val="center"/>
        <w:rPr>
          <w:rFonts w:hint="eastAsia"/>
          <w:b/>
          <w:sz w:val="30"/>
          <w:szCs w:val="30"/>
        </w:rPr>
      </w:pPr>
      <w:r w:rsidRPr="00061033">
        <w:rPr>
          <w:rFonts w:hint="eastAsia"/>
          <w:b/>
          <w:sz w:val="30"/>
          <w:szCs w:val="30"/>
        </w:rPr>
        <w:t>2020</w:t>
      </w:r>
      <w:r w:rsidRPr="00061033">
        <w:rPr>
          <w:rFonts w:hint="eastAsia"/>
          <w:b/>
          <w:sz w:val="30"/>
          <w:szCs w:val="30"/>
        </w:rPr>
        <w:t>年第二季度广西人才网薪酬报告</w:t>
      </w:r>
    </w:p>
    <w:p w:rsidR="006713CD" w:rsidRDefault="006713CD" w:rsidP="006713CD">
      <w:pPr>
        <w:rPr>
          <w:rFonts w:hint="eastAsia"/>
        </w:rPr>
      </w:pPr>
    </w:p>
    <w:p w:rsidR="006713CD" w:rsidRPr="00922A75" w:rsidRDefault="006713CD" w:rsidP="006713CD">
      <w:pPr>
        <w:widowControl/>
        <w:shd w:val="clear" w:color="auto" w:fill="FFFFFF"/>
        <w:jc w:val="left"/>
        <w:rPr>
          <w:rFonts w:ascii="微软雅黑" w:eastAsia="微软雅黑" w:hAnsi="微软雅黑" w:cs="宋体"/>
          <w:color w:val="333333"/>
          <w:kern w:val="0"/>
          <w:sz w:val="17"/>
          <w:szCs w:val="17"/>
        </w:rPr>
      </w:pPr>
      <w:r w:rsidRPr="00922A75">
        <w:rPr>
          <w:rFonts w:ascii="微软雅黑" w:eastAsia="微软雅黑" w:hAnsi="微软雅黑" w:cs="宋体" w:hint="eastAsia"/>
          <w:b/>
          <w:bCs/>
          <w:color w:val="333333"/>
          <w:kern w:val="0"/>
          <w:sz w:val="19"/>
        </w:rPr>
        <w:t>一、总体概况</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广西人才网中用人单位发布职位的平均薪酬（其定义见注4，下同）为5367元/月，环比回升5.57%，同比增长12.10%；而求职者期望薪酬(其定义见注4，下同）为4950元/月，环比微跌0.63%，同比增长5.60%。用人单位提供的职位平均薪酬水平依旧比求职者的期望薪酬高。</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近六年各季度求职者期望薪酬和用人单位发布职位平均薪酬对比走势图如下：</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Pr>
          <w:rFonts w:ascii="微软雅黑" w:eastAsia="微软雅黑" w:hAnsi="微软雅黑" w:cs="宋体"/>
          <w:noProof/>
          <w:color w:val="333333"/>
          <w:kern w:val="0"/>
          <w:sz w:val="17"/>
          <w:szCs w:val="17"/>
        </w:rPr>
        <w:lastRenderedPageBreak/>
        <w:drawing>
          <wp:inline distT="0" distB="0" distL="0" distR="0">
            <wp:extent cx="6332220" cy="4038600"/>
            <wp:effectExtent l="19050" t="0" r="0" b="0"/>
            <wp:docPr id="33" name="图片 33" descr="http://image.gxrc.com/news/images/2020/430702b1-ae5f-46fb-b8d6-a3030ed3d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gxrc.com/news/images/2020/430702b1-ae5f-46fb-b8d6-a3030ed3d963.png"/>
                    <pic:cNvPicPr>
                      <a:picLocks noChangeAspect="1" noChangeArrowheads="1"/>
                    </pic:cNvPicPr>
                  </pic:nvPicPr>
                  <pic:blipFill>
                    <a:blip r:embed="rId5" cstate="print"/>
                    <a:srcRect/>
                    <a:stretch>
                      <a:fillRect/>
                    </a:stretch>
                  </pic:blipFill>
                  <pic:spPr bwMode="auto">
                    <a:xfrm>
                      <a:off x="0" y="0"/>
                      <a:ext cx="6332220" cy="4038600"/>
                    </a:xfrm>
                    <a:prstGeom prst="rect">
                      <a:avLst/>
                    </a:prstGeom>
                    <a:noFill/>
                    <a:ln w="9525">
                      <a:noFill/>
                      <a:miter lim="800000"/>
                      <a:headEnd/>
                      <a:tailEnd/>
                    </a:ln>
                  </pic:spPr>
                </pic:pic>
              </a:graphicData>
            </a:graphic>
          </wp:inline>
        </w:drawing>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rPr>
        <w:t>二、广西人才网主要工作地薪酬情况</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在广西人才网中区内用人单位发布职位的平均薪酬为5347元/月。各市的用人单位提供的薪酬水平分布中，区内工作地在北海市的用人单位提供的职位平均薪酬水平较高，达到6313元/月，环比增长6.84%，其求职者期望薪酬为5161元/月。其提供的职位中公司总经理、分公司总经理、土建工程师、销售</w:t>
      </w:r>
      <w:r w:rsidRPr="00922A75">
        <w:rPr>
          <w:rFonts w:ascii="微软雅黑" w:eastAsia="微软雅黑" w:hAnsi="微软雅黑" w:cs="宋体" w:hint="eastAsia"/>
          <w:color w:val="333333"/>
          <w:kern w:val="0"/>
          <w:sz w:val="19"/>
          <w:szCs w:val="19"/>
        </w:rPr>
        <w:lastRenderedPageBreak/>
        <w:t>总监等高层管理者的职位较多，因此平均薪酬水平较高。本季度桂林市用人单位提供的职位平均薪酬位居全区第二位，达到5634元/月，环比增长10.16%，其求职者期望薪酬为5088元/月，其提供的职位中区域经理、分公司负责人、工程项目经理、置业顾问等高层管理这或者业务类职位较多。</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广西人才网中区内主要工作地对应的求职者期望薪酬和职位平均薪酬水平分布图如下（单位：元/月）：</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Pr>
          <w:rFonts w:ascii="微软雅黑" w:eastAsia="微软雅黑" w:hAnsi="微软雅黑" w:cs="宋体"/>
          <w:noProof/>
          <w:color w:val="333333"/>
          <w:kern w:val="0"/>
          <w:sz w:val="19"/>
          <w:szCs w:val="19"/>
        </w:rPr>
        <w:drawing>
          <wp:inline distT="0" distB="0" distL="0" distR="0">
            <wp:extent cx="6484620" cy="3535680"/>
            <wp:effectExtent l="19050" t="0" r="0" b="0"/>
            <wp:docPr id="34" name="图片 34" descr="http://image.gxrc.com/news/images/2020/81815ecb-f290-4c2e-acc8-26da21672a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gxrc.com/news/images/2020/81815ecb-f290-4c2e-acc8-26da21672a8e.png"/>
                    <pic:cNvPicPr>
                      <a:picLocks noChangeAspect="1" noChangeArrowheads="1"/>
                    </pic:cNvPicPr>
                  </pic:nvPicPr>
                  <pic:blipFill>
                    <a:blip r:embed="rId6" cstate="print"/>
                    <a:srcRect/>
                    <a:stretch>
                      <a:fillRect/>
                    </a:stretch>
                  </pic:blipFill>
                  <pic:spPr bwMode="auto">
                    <a:xfrm>
                      <a:off x="0" y="0"/>
                      <a:ext cx="6484620" cy="353568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另外，用人单位发布驻区外的职位平均薪酬达到6252元/月，期望在区外工作的求职者对薪酬的要求达到5469元/月。受疫情影响，本季度区外职位样本占总样本的比重较低，且平均薪酬均呈现不同程度的下跌。本季度区外职位样本主要集中在广东省，提供的职位平均薪酬达到5785元/月，其求职者期望薪酬为5434元/月。</w:t>
      </w:r>
      <w:r w:rsidRPr="00922A75">
        <w:rPr>
          <w:rFonts w:ascii="微软雅黑" w:eastAsia="微软雅黑" w:hAnsi="微软雅黑" w:cs="宋体" w:hint="eastAsia"/>
          <w:color w:val="333333"/>
          <w:kern w:val="0"/>
          <w:sz w:val="19"/>
          <w:szCs w:val="19"/>
        </w:rPr>
        <w:lastRenderedPageBreak/>
        <w:t>工作地为北京市用人单位提供的的职位平均薪酬水平较高，平均薪酬达到9975元/月，其求职者期望薪酬为7447元/月。工作地为国外的用人单位依旧主要集中在越南，平均薪酬水平达到8690元/月，其求职者期望薪酬为7174元/月。区内职位平均薪酬水平与区外相比依旧存在一定差距。</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广西人才网中区外主要工作地对应的求职者期望薪酬和职位平均薪酬水平分布图如下（单位：元/月）：</w:t>
      </w:r>
    </w:p>
    <w:p w:rsidR="006713CD" w:rsidRPr="00922A75" w:rsidRDefault="006713CD" w:rsidP="006713CD">
      <w:pPr>
        <w:widowControl/>
        <w:shd w:val="clear" w:color="auto" w:fill="FFFFFF"/>
        <w:ind w:firstLine="640"/>
        <w:jc w:val="center"/>
        <w:rPr>
          <w:rFonts w:ascii="微软雅黑" w:eastAsia="微软雅黑" w:hAnsi="微软雅黑" w:cs="宋体" w:hint="eastAsia"/>
          <w:color w:val="333333"/>
          <w:kern w:val="0"/>
          <w:sz w:val="17"/>
          <w:szCs w:val="17"/>
        </w:rPr>
      </w:pPr>
      <w:r>
        <w:rPr>
          <w:rFonts w:ascii="微软雅黑" w:eastAsia="微软雅黑" w:hAnsi="微软雅黑" w:cs="宋体"/>
          <w:noProof/>
          <w:color w:val="333333"/>
          <w:kern w:val="0"/>
          <w:sz w:val="19"/>
          <w:szCs w:val="19"/>
        </w:rPr>
        <w:drawing>
          <wp:inline distT="0" distB="0" distL="0" distR="0">
            <wp:extent cx="6492240" cy="3505200"/>
            <wp:effectExtent l="19050" t="0" r="3810" b="0"/>
            <wp:docPr id="35" name="图片 35" descr="http://image.gxrc.com/news/images/2020/a370abdd-64ca-4a0c-9fa1-10cc2dc3b2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gxrc.com/news/images/2020/a370abdd-64ca-4a0c-9fa1-10cc2dc3b2a6.png"/>
                    <pic:cNvPicPr>
                      <a:picLocks noChangeAspect="1" noChangeArrowheads="1"/>
                    </pic:cNvPicPr>
                  </pic:nvPicPr>
                  <pic:blipFill>
                    <a:blip r:embed="rId7" cstate="print"/>
                    <a:srcRect/>
                    <a:stretch>
                      <a:fillRect/>
                    </a:stretch>
                  </pic:blipFill>
                  <pic:spPr bwMode="auto">
                    <a:xfrm>
                      <a:off x="0" y="0"/>
                      <a:ext cx="6492240" cy="350520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rPr>
        <w:t>三、各职位大类薪酬情况</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lastRenderedPageBreak/>
        <w:t>2020年第二季度，广西人才网中用人单位发布职位平均薪酬最高的前五位职位分别为：高级管理类11929元/月、法律/法务/合规类8075元/月、房地产开发/经纪/中介类8014元/月、银行类7138元/月及汽车制造类6768元/月。以下五类职位平均薪酬较低：保安/家政服务类3308元/月、出版/印刷类3414元/月、行政/文职/后勤类3703元/月、服装/纺织/皮革类3798元/月及餐饮/娱乐类3961元/月。</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求职者期望最高的前五位职位类别分别为：高级管理类9019元/月、房地产开发/经纪/中介类8072元/月、IT管理/项目协调类6470元/月、建筑/工程类6096元/月及证券/期货/投资管理/服务类5681元/月；而期望从事以下五类职位的求职者对薪酬要求较低，包括：保安/家政服务类3799元/月、行政/文职/后勤类3909元/月、文教/科研类4031元/月、出版/印刷类4084元/月及文字媒体/写作类4103元/月。</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具体见下表：</w:t>
      </w:r>
    </w:p>
    <w:tbl>
      <w:tblPr>
        <w:tblW w:w="8691" w:type="dxa"/>
        <w:jc w:val="center"/>
        <w:tblCellMar>
          <w:top w:w="15" w:type="dxa"/>
          <w:left w:w="15" w:type="dxa"/>
          <w:bottom w:w="15" w:type="dxa"/>
          <w:right w:w="15" w:type="dxa"/>
        </w:tblCellMar>
        <w:tblLook w:val="04A0"/>
      </w:tblPr>
      <w:tblGrid>
        <w:gridCol w:w="5209"/>
        <w:gridCol w:w="1741"/>
        <w:gridCol w:w="1741"/>
      </w:tblGrid>
      <w:tr w:rsidR="006713CD" w:rsidRPr="00922A75" w:rsidTr="00A50022">
        <w:trPr>
          <w:jc w:val="center"/>
        </w:trPr>
        <w:tc>
          <w:tcPr>
            <w:tcW w:w="868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2020年第二季度广西人才网部分职位薪酬情况表（单位：元人民币/月）</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职位类别</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期望薪酬</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职位平均薪酬</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农林渔牧类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4960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5552</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高级管理类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9019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11929</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人力资源/人事类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4518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4611</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行政/文职/后勤类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3909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3703</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财务/税务/审计/统计类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4336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4684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制造业生产管理类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5213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5115</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质量保证/品质管理类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4908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4654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采购类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5170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4896</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市场/营销/策划/推广类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5269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5363</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4936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5867</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客服/技术支持类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4189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4370</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电力/能源/矿产/测绘类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5288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5432</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lastRenderedPageBreak/>
              <w:t>机械制造类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5190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5191</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汽车制造类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5307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6768</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汽车4S/维修/驾培类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4662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6210</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化工类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4628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6266</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生物/医药/医疗器械类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4405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5181</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轻工/食品/工艺品类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4144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4671</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服装/纺织/皮革类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4686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3798</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计算机硬件开发类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4821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6000</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计算机软件开发类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5499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6594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IT管理/项目协调类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6470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6584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IT质量管理/测试/配置管理类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4882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4961</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IT运维/技术支持/系统集成类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4768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5046</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互联网/移动互联网开发/设计类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4657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4983</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互联网产品/运营管理/电子商务类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4531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4942</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手机/通信技术类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4621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5215</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电子/电器类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4812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5029</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出版/印刷类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4084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3414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建筑/工程类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6096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6368</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房地产开发/经纪/中介类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8072</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8014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物业管理类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5284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4147</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贸易/进出口类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4461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4365</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物流/仓储类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4217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4033</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交通运输服务</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4739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5798</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证券/期货/投资管理/服务类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5681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6572</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银行类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5625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7138</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保险类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5156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5452</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艺术/设计类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4411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5067</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lastRenderedPageBreak/>
              <w:t>广告类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4447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5622</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会展/公关/活动类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4569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5228</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影视类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4395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5944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文字媒体/写作类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4103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5106</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百货/超市/零售类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4244</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4266</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餐饮/娱乐类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4410</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3961</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酒店/旅游类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4471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3970</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美容/保健类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4917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6027</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翻译类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4967</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4717</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法律/法务/合规类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5386</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8075</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咨询/顾问/中介类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5318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6559</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医院/医疗/护理类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4645</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5622</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文教/科研类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4031</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4924</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环境保护类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4848</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5096</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保安/家政服务类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3799</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3308</w:t>
            </w:r>
          </w:p>
        </w:tc>
      </w:tr>
      <w:tr w:rsidR="006713CD" w:rsidRPr="00922A75" w:rsidTr="00A50022">
        <w:trPr>
          <w:jc w:val="center"/>
        </w:trPr>
        <w:tc>
          <w:tcPr>
            <w:tcW w:w="5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技工类</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4823</w:t>
            </w:r>
          </w:p>
        </w:tc>
        <w:tc>
          <w:tcPr>
            <w:tcW w:w="17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4692</w:t>
            </w:r>
          </w:p>
        </w:tc>
      </w:tr>
    </w:tbl>
    <w:p w:rsidR="006713CD" w:rsidRPr="00922A75" w:rsidRDefault="006713CD" w:rsidP="006713CD">
      <w:pPr>
        <w:widowControl/>
        <w:shd w:val="clear" w:color="auto" w:fill="FFFFFF"/>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rPr>
        <w:t>四、用人单位发布职位在各个薪酬区间的分布及变化趋势</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广西人才网中用人单位发布的职位薪酬环比增长5.57%。在区间分布中，本季度4000-4999元/月区间薪酬的职位占比为23.49%，环比增长2.78个百分点；6000-7999元/月区间薪酬的职位占比为12.12%，环比增长4.65个百分点；8000-8999元/月区间薪酬的职位占比为7.36%，环比增长1.38个百分点；另外，占比最为集中的薪酬区间为3000-3999元/月，该薪酬区间职位占比为24.81%，环比下滑0.99个百分点；2000-2999元/月区间薪酬职位占比为8.71%，环比</w:t>
      </w:r>
      <w:r w:rsidRPr="00922A75">
        <w:rPr>
          <w:rFonts w:ascii="微软雅黑" w:eastAsia="微软雅黑" w:hAnsi="微软雅黑" w:cs="宋体" w:hint="eastAsia"/>
          <w:color w:val="333333"/>
          <w:kern w:val="0"/>
          <w:sz w:val="19"/>
          <w:szCs w:val="19"/>
        </w:rPr>
        <w:lastRenderedPageBreak/>
        <w:t>下滑5.14个百分点；5000-5999元/月薪酬区间职位占比为12.70%，环比下滑2.19个百分点；10000-19999元/月区间薪酬的职位占比为5.49%，环比下滑0.23个百分点；20000-29999元/月区间薪酬职位占比为0.51%，环比下滑0.05个百分点。与上季度相比，职位数量在各个薪酬区间的分布图如下：</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Pr>
          <w:rFonts w:ascii="微软雅黑" w:eastAsia="微软雅黑" w:hAnsi="微软雅黑" w:cs="宋体"/>
          <w:noProof/>
          <w:color w:val="333333"/>
          <w:kern w:val="0"/>
          <w:sz w:val="19"/>
          <w:szCs w:val="19"/>
        </w:rPr>
        <w:drawing>
          <wp:inline distT="0" distB="0" distL="0" distR="0">
            <wp:extent cx="6408420" cy="3970020"/>
            <wp:effectExtent l="19050" t="0" r="0" b="0"/>
            <wp:docPr id="36" name="图片 36" descr="http://image.gxrc.com/news/images/2020/bc66a97c-a841-4bb5-940c-25b9b8251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gxrc.com/news/images/2020/bc66a97c-a841-4bb5-940c-25b9b8251110.png"/>
                    <pic:cNvPicPr>
                      <a:picLocks noChangeAspect="1" noChangeArrowheads="1"/>
                    </pic:cNvPicPr>
                  </pic:nvPicPr>
                  <pic:blipFill>
                    <a:blip r:embed="rId8" cstate="print"/>
                    <a:srcRect/>
                    <a:stretch>
                      <a:fillRect/>
                    </a:stretch>
                  </pic:blipFill>
                  <pic:spPr bwMode="auto">
                    <a:xfrm>
                      <a:off x="0" y="0"/>
                      <a:ext cx="6408420" cy="397002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近六年各季度较低薪酬区间（单位：元/月）的职位数量占比曲线图如下：</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Pr>
          <w:rFonts w:ascii="微软雅黑" w:eastAsia="微软雅黑" w:hAnsi="微软雅黑" w:cs="宋体"/>
          <w:noProof/>
          <w:color w:val="333333"/>
          <w:kern w:val="0"/>
          <w:sz w:val="19"/>
          <w:szCs w:val="19"/>
        </w:rPr>
        <w:lastRenderedPageBreak/>
        <w:drawing>
          <wp:inline distT="0" distB="0" distL="0" distR="0">
            <wp:extent cx="6408420" cy="3916680"/>
            <wp:effectExtent l="19050" t="0" r="0" b="0"/>
            <wp:docPr id="37" name="图片 37" descr="http://image.gxrc.com/news/images/2020/1e27df57-ad60-4f0b-b9e4-1b9986a52c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gxrc.com/news/images/2020/1e27df57-ad60-4f0b-b9e4-1b9986a52cfd.png"/>
                    <pic:cNvPicPr>
                      <a:picLocks noChangeAspect="1" noChangeArrowheads="1"/>
                    </pic:cNvPicPr>
                  </pic:nvPicPr>
                  <pic:blipFill>
                    <a:blip r:embed="rId9" cstate="print"/>
                    <a:srcRect/>
                    <a:stretch>
                      <a:fillRect/>
                    </a:stretch>
                  </pic:blipFill>
                  <pic:spPr bwMode="auto">
                    <a:xfrm>
                      <a:off x="0" y="0"/>
                      <a:ext cx="6408420" cy="391668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由上图可见，近六年2000-2999元/月较低薪酬区间在2020年第二季度职位数量占比出现下跌，占比仅为8.71%；2000元/月以下占比仅为4.61%。</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近六年各季度主要薪酬区间（单位：元/月）的职位数量占比曲线图如下：</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lastRenderedPageBreak/>
        <w:t> </w:t>
      </w:r>
      <w:r>
        <w:rPr>
          <w:rFonts w:ascii="微软雅黑" w:eastAsia="微软雅黑" w:hAnsi="微软雅黑" w:cs="宋体"/>
          <w:noProof/>
          <w:color w:val="333333"/>
          <w:kern w:val="0"/>
          <w:sz w:val="19"/>
          <w:szCs w:val="19"/>
        </w:rPr>
        <w:drawing>
          <wp:inline distT="0" distB="0" distL="0" distR="0">
            <wp:extent cx="6408420" cy="4069080"/>
            <wp:effectExtent l="19050" t="0" r="0" b="0"/>
            <wp:docPr id="38" name="图片 38" descr="http://image.gxrc.com/news/images/2020/e4bbd41f-e5ba-46c6-9de2-55a6edd008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gxrc.com/news/images/2020/e4bbd41f-e5ba-46c6-9de2-55a6edd0083e.png"/>
                    <pic:cNvPicPr>
                      <a:picLocks noChangeAspect="1" noChangeArrowheads="1"/>
                    </pic:cNvPicPr>
                  </pic:nvPicPr>
                  <pic:blipFill>
                    <a:blip r:embed="rId10" cstate="print"/>
                    <a:srcRect/>
                    <a:stretch>
                      <a:fillRect/>
                    </a:stretch>
                  </pic:blipFill>
                  <pic:spPr bwMode="auto">
                    <a:xfrm>
                      <a:off x="0" y="0"/>
                      <a:ext cx="6408420" cy="406908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由上图可见，2020年第二季度3000-3999元/月区间的职位数量占比依旧是占比最为集中的薪酬区间，该薪酬区间职位占比为24.81%，环比下滑0.99个百分点；4000-4999元/月区间职位数量占比为23.49%，环比增长2.78个百分点；5000-5999元/月区间职位数量占比为12.70%，环比下滑长2.19个百分点。</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近六年各季度较高薪酬区间（单位：元/月）的职位数量占比曲线图如下：</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lastRenderedPageBreak/>
        <w:t> </w:t>
      </w:r>
      <w:r>
        <w:rPr>
          <w:rFonts w:ascii="微软雅黑" w:eastAsia="微软雅黑" w:hAnsi="微软雅黑" w:cs="宋体"/>
          <w:noProof/>
          <w:color w:val="333333"/>
          <w:kern w:val="0"/>
          <w:sz w:val="19"/>
          <w:szCs w:val="19"/>
        </w:rPr>
        <w:drawing>
          <wp:inline distT="0" distB="0" distL="0" distR="0">
            <wp:extent cx="6377940" cy="4084320"/>
            <wp:effectExtent l="19050" t="0" r="3810" b="0"/>
            <wp:docPr id="39" name="图片 39" descr="http://image.gxrc.com/news/images/2020/e495305f-f1ed-448e-9804-0cae423f8e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gxrc.com/news/images/2020/e495305f-f1ed-448e-9804-0cae423f8e4a.png"/>
                    <pic:cNvPicPr>
                      <a:picLocks noChangeAspect="1" noChangeArrowheads="1"/>
                    </pic:cNvPicPr>
                  </pic:nvPicPr>
                  <pic:blipFill>
                    <a:blip r:embed="rId11" cstate="print"/>
                    <a:srcRect/>
                    <a:stretch>
                      <a:fillRect/>
                    </a:stretch>
                  </pic:blipFill>
                  <pic:spPr bwMode="auto">
                    <a:xfrm>
                      <a:off x="0" y="0"/>
                      <a:ext cx="6377940" cy="408432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由上图可见，2020年第二季度6000-7999元/月区间的职位数量占比为12.12%，环比增长4.65个百分点；8000-8999元/月区间薪酬的职位占比为7.36%，环比增长1.38个百分点；10000及以上元/月区间的职位占比为6.21%，环比增长0.17个百分点。</w:t>
      </w:r>
    </w:p>
    <w:p w:rsidR="006713CD" w:rsidRPr="00922A75" w:rsidRDefault="006713CD" w:rsidP="006713CD">
      <w:pPr>
        <w:widowControl/>
        <w:shd w:val="clear" w:color="auto" w:fill="FFFFFF"/>
        <w:ind w:left="420" w:firstLine="420"/>
        <w:jc w:val="left"/>
        <w:rPr>
          <w:rFonts w:ascii="微软雅黑" w:eastAsia="微软雅黑" w:hAnsi="微软雅黑" w:cs="宋体" w:hint="eastAsia"/>
          <w:color w:val="333333"/>
          <w:kern w:val="0"/>
          <w:sz w:val="17"/>
          <w:szCs w:val="17"/>
        </w:rPr>
      </w:pPr>
    </w:p>
    <w:p w:rsidR="006713CD" w:rsidRPr="00922A75" w:rsidRDefault="006713CD" w:rsidP="006713CD">
      <w:pPr>
        <w:widowControl/>
        <w:shd w:val="clear" w:color="auto" w:fill="FFFFFF"/>
        <w:ind w:left="420" w:firstLine="42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rPr>
        <w:t>五、</w:t>
      </w:r>
      <w:r w:rsidRPr="00922A75">
        <w:rPr>
          <w:rFonts w:ascii="微软雅黑" w:eastAsia="微软雅黑" w:hAnsi="微软雅黑" w:cs="宋体" w:hint="eastAsia"/>
          <w:b/>
          <w:bCs/>
          <w:color w:val="333333"/>
          <w:kern w:val="0"/>
          <w:sz w:val="19"/>
          <w:szCs w:val="19"/>
        </w:rPr>
        <w:t>区内部分城市具体职位薪酬参考</w:t>
      </w:r>
    </w:p>
    <w:p w:rsidR="006713CD" w:rsidRPr="00922A75" w:rsidRDefault="006713CD" w:rsidP="006713CD">
      <w:pPr>
        <w:widowControl/>
        <w:shd w:val="clear" w:color="auto" w:fill="FFFFFF"/>
        <w:ind w:firstLine="643"/>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lastRenderedPageBreak/>
        <w:t>（一）南宁市</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2020年第二季度广西人才网中工作地为南宁市的用人单位发布职位的平均薪酬为5477元/月，环比下滑1.88%；而求职者期望薪酬为5042元/月，环比下滑0.36%。</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近三年各季度工作地为南宁市的求职者期望薪酬和用人单位发布职位平均薪酬对比走势图如下： </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Pr>
          <w:rFonts w:ascii="微软雅黑" w:eastAsia="微软雅黑" w:hAnsi="微软雅黑" w:cs="宋体"/>
          <w:noProof/>
          <w:color w:val="333333"/>
          <w:kern w:val="0"/>
          <w:sz w:val="19"/>
          <w:szCs w:val="19"/>
        </w:rPr>
        <w:drawing>
          <wp:inline distT="0" distB="0" distL="0" distR="0">
            <wp:extent cx="6659880" cy="3619500"/>
            <wp:effectExtent l="19050" t="0" r="7620" b="0"/>
            <wp:docPr id="40" name="图片 40" descr="http://image.gxrc.com/news/images/2020/4fee6d1b-d76d-4700-9cd3-0b1b4671c0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gxrc.com/news/images/2020/4fee6d1b-d76d-4700-9cd3-0b1b4671c08e.png"/>
                    <pic:cNvPicPr>
                      <a:picLocks noChangeAspect="1" noChangeArrowheads="1"/>
                    </pic:cNvPicPr>
                  </pic:nvPicPr>
                  <pic:blipFill>
                    <a:blip r:embed="rId12" cstate="print"/>
                    <a:srcRect/>
                    <a:stretch>
                      <a:fillRect/>
                    </a:stretch>
                  </pic:blipFill>
                  <pic:spPr bwMode="auto">
                    <a:xfrm>
                      <a:off x="0" y="0"/>
                      <a:ext cx="6659880" cy="361950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2020年第二季度广西人才网南宁市部分具体职位薪酬参考（元/月）（分位薪酬定义见注5，下同）</w:t>
      </w:r>
    </w:p>
    <w:tbl>
      <w:tblPr>
        <w:tblW w:w="10517" w:type="dxa"/>
        <w:jc w:val="center"/>
        <w:tblCellMar>
          <w:top w:w="15" w:type="dxa"/>
          <w:left w:w="15" w:type="dxa"/>
          <w:bottom w:w="15" w:type="dxa"/>
          <w:right w:w="15" w:type="dxa"/>
        </w:tblCellMar>
        <w:tblLook w:val="04A0"/>
      </w:tblPr>
      <w:tblGrid>
        <w:gridCol w:w="1910"/>
        <w:gridCol w:w="3626"/>
        <w:gridCol w:w="1294"/>
        <w:gridCol w:w="1279"/>
        <w:gridCol w:w="1234"/>
        <w:gridCol w:w="1174"/>
      </w:tblGrid>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职位大类</w:t>
            </w:r>
          </w:p>
        </w:tc>
        <w:tc>
          <w:tcPr>
            <w:tcW w:w="361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具体职位</w:t>
            </w:r>
          </w:p>
        </w:tc>
        <w:tc>
          <w:tcPr>
            <w:tcW w:w="129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平均薪酬</w:t>
            </w:r>
          </w:p>
        </w:tc>
        <w:tc>
          <w:tcPr>
            <w:tcW w:w="36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分位薪酬</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50分位</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75分位</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b/>
                <w:bCs/>
                <w:kern w:val="0"/>
                <w:sz w:val="19"/>
                <w:szCs w:val="19"/>
              </w:rPr>
              <w:t>90分位</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经营管理类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首席执行官CEO/总裁/总经理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20552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17915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24499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32011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首席运营官COO/副总经理/副总裁</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14521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11899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16094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28203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运营总监/企管部经理/企业管理顾问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10385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8200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12831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17499</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人力资源/人事类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人力资源/人事经理/主管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7414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8981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人力资源/人事专员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3704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3548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3947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4963</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行政/文职/后勤类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行政经理/主管/办公室主任/副主任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6580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5741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8426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9779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3389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3325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3861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4859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经理助理/秘书/高级文员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3979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4882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7287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前台/接待/礼仪</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3688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3503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4052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5287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行政司机</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4251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4011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4693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5469</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财务/税务/审计/统计类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财务经理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9058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8052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10625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13521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财务主管/会计主管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5860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6749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7957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会计师/会计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3960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4104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4808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5800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出纳</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3604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3537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3986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4727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收银/收费员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2928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2874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3416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3765</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市场/策划/推广类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市场/营销总监</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12463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9367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13540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23462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6474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7777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12333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4913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4583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5344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7547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产品/品牌经理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9166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8761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9761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12713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产品/品牌主管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6055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7748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9099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产品/品牌专员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4407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4456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4753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4931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市场推广经理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10019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9582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11874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13749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市场推广专员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4570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4443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5116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5893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市场/营销策划经理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8304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8166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9498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11998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市场/营销策划专员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5015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4681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5558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bottom"/>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7517</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销售类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销售总监</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销售经理/主任</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10922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9544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12595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14956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7051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6440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9225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12476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招商/渠道/分销/拓展经理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9792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8390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11444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14510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招商/渠道/分销/拓展主管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6790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6562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9748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招商/渠道/分销/拓展专员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5890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4795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6683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9876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区域市场/销售经理/主管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8960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8529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11502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14370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客户经理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8261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7512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9586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13291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销售代表</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5777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5157</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6523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9167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推销员/业务员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5320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4682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6311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8020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5758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4960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7359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8721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电话销售员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6467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5852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7778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9547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销售行政专员/助理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4242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4360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5549</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客服/技术支持类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客服经理/主管（非技术）</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5562</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6035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7445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8683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客服专员/助理（非技术）</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4260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4125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4744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6365</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客户咨询/服务/热线/呼叫中心服务人员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5189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4759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5727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8259</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计算机软件类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软件工程师/程序员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6855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6449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8524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10291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数据库工程师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3374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4799</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互联网/网络应用类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网站运营经理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7205</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6833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8374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9648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网站编辑/论坛维护/内容监管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4618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4464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4856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5608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网页设计/制作/美工</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3783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3659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4383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4972</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建筑/工程类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建筑工程师/注册建筑师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9628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8845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11543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14675</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土木/土建工程师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8230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7442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11218</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13486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给排水/水电工程师</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6376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8624</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12599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工程造价师/预结算/审计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6363</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5818</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7649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10752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工程招投标/报批报建</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4809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4196</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4985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8098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工程管理/项目经理/主管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8888</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7780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11121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15210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工程监理/督导/验收</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5484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4621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7191</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9816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施工员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5314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5290</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6970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7857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资料员/合同管理员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4410</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4192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5462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6885</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房地产/房地产中介类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房地产开发/策划经理/主管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10471</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7665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12499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18001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置业顾问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8166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7165</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10012</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14791</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证券/投资/其他金融类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投资顾问/基金经理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5624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5333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5999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7599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投资/理财顾问</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5886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4761</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7219</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9060</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银行类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银行客户专员</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5374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5686</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5874</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金融资产评估/风险控制</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8316</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7204</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11065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14091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信贷管理/信用调查/稽核分析</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5904</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5182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5870</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9292</w:t>
            </w:r>
          </w:p>
        </w:tc>
      </w:tr>
      <w:tr w:rsidR="006713CD" w:rsidRPr="00922A75" w:rsidTr="00A50022">
        <w:trPr>
          <w:jc w:val="center"/>
        </w:trPr>
        <w:tc>
          <w:tcPr>
            <w:tcW w:w="19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保险类</w:t>
            </w: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保险业务经理/主管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5999</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4799</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8333</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9332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保险代理/经纪人/客户经理</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6027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5422</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8325</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9389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6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保险核保/理赔服务</w:t>
            </w:r>
          </w:p>
        </w:tc>
        <w:tc>
          <w:tcPr>
            <w:tcW w:w="129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4957</w:t>
            </w:r>
          </w:p>
        </w:tc>
        <w:tc>
          <w:tcPr>
            <w:tcW w:w="127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4943</w:t>
            </w:r>
          </w:p>
        </w:tc>
        <w:tc>
          <w:tcPr>
            <w:tcW w:w="123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5837</w:t>
            </w:r>
          </w:p>
        </w:tc>
        <w:tc>
          <w:tcPr>
            <w:tcW w:w="115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7108 </w:t>
            </w:r>
          </w:p>
        </w:tc>
      </w:tr>
    </w:tbl>
    <w:p w:rsidR="006713CD" w:rsidRPr="00922A75" w:rsidRDefault="006713CD" w:rsidP="006713CD">
      <w:pPr>
        <w:widowControl/>
        <w:jc w:val="left"/>
        <w:rPr>
          <w:rFonts w:ascii="宋体" w:hAnsi="宋体" w:cs="宋体" w:hint="eastAsia"/>
          <w:kern w:val="0"/>
          <w:sz w:val="24"/>
          <w:szCs w:val="24"/>
        </w:rPr>
      </w:pPr>
      <w:r w:rsidRPr="00922A75">
        <w:rPr>
          <w:rFonts w:ascii="微软雅黑" w:eastAsia="微软雅黑" w:hAnsi="微软雅黑" w:cs="宋体" w:hint="eastAsia"/>
          <w:b/>
          <w:bCs/>
          <w:color w:val="333333"/>
          <w:kern w:val="0"/>
          <w:sz w:val="17"/>
          <w:szCs w:val="17"/>
          <w:shd w:val="clear" w:color="auto" w:fill="FFFFFF"/>
        </w:rPr>
        <w:br/>
        <w:t>           </w:t>
      </w:r>
      <w:r w:rsidRPr="00922A75">
        <w:rPr>
          <w:rFonts w:ascii="微软雅黑" w:eastAsia="微软雅黑" w:hAnsi="微软雅黑" w:cs="宋体" w:hint="eastAsia"/>
          <w:b/>
          <w:bCs/>
          <w:color w:val="333333"/>
          <w:kern w:val="0"/>
          <w:sz w:val="19"/>
          <w:szCs w:val="19"/>
          <w:shd w:val="clear" w:color="auto" w:fill="FFFFFF"/>
        </w:rPr>
        <w:t>（二）柳州市</w:t>
      </w:r>
    </w:p>
    <w:p w:rsidR="006713CD" w:rsidRPr="00922A75" w:rsidRDefault="006713CD" w:rsidP="006713CD">
      <w:pPr>
        <w:widowControl/>
        <w:shd w:val="clear" w:color="auto" w:fill="FFFFFF"/>
        <w:ind w:firstLine="640"/>
        <w:jc w:val="left"/>
        <w:rPr>
          <w:rFonts w:ascii="微软雅黑" w:eastAsia="微软雅黑" w:hAnsi="微软雅黑" w:cs="宋体"/>
          <w:color w:val="333333"/>
          <w:kern w:val="0"/>
          <w:sz w:val="17"/>
          <w:szCs w:val="17"/>
        </w:rPr>
      </w:pPr>
      <w:r w:rsidRPr="00922A75">
        <w:rPr>
          <w:rFonts w:ascii="微软雅黑" w:eastAsia="微软雅黑" w:hAnsi="微软雅黑" w:cs="宋体" w:hint="eastAsia"/>
          <w:color w:val="333333"/>
          <w:kern w:val="0"/>
          <w:sz w:val="19"/>
          <w:szCs w:val="19"/>
        </w:rPr>
        <w:t>2020年第二季度广西人才网中工作地为柳州市的用人单位发布职位的平均薪酬为4839元/月，环比基本持平，微增0.02%；而求职者期望薪酬为4645元/月，环比增长0.15%。</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近三年各季度工作地为柳州市的求职者期望薪酬和用人单位发布职位平均薪酬对比走势图如下：</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lastRenderedPageBreak/>
        <w:t> </w:t>
      </w:r>
      <w:r>
        <w:rPr>
          <w:rFonts w:ascii="微软雅黑" w:eastAsia="微软雅黑" w:hAnsi="微软雅黑" w:cs="宋体"/>
          <w:noProof/>
          <w:color w:val="333333"/>
          <w:kern w:val="0"/>
          <w:sz w:val="19"/>
          <w:szCs w:val="19"/>
        </w:rPr>
        <w:drawing>
          <wp:inline distT="0" distB="0" distL="0" distR="0">
            <wp:extent cx="6705600" cy="3878580"/>
            <wp:effectExtent l="19050" t="0" r="0" b="0"/>
            <wp:docPr id="41" name="图片 41" descr="http://image.gxrc.com/news/images/2020/85ab863e-7a4e-44f2-b379-f160964fe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gxrc.com/news/images/2020/85ab863e-7a4e-44f2-b379-f160964fe598.png"/>
                    <pic:cNvPicPr>
                      <a:picLocks noChangeAspect="1" noChangeArrowheads="1"/>
                    </pic:cNvPicPr>
                  </pic:nvPicPr>
                  <pic:blipFill>
                    <a:blip r:embed="rId13" cstate="print"/>
                    <a:srcRect/>
                    <a:stretch>
                      <a:fillRect/>
                    </a:stretch>
                  </pic:blipFill>
                  <pic:spPr bwMode="auto">
                    <a:xfrm>
                      <a:off x="0" y="0"/>
                      <a:ext cx="6705600" cy="387858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2020年第二季度广西人才网柳州市部分具体职位薪酬参考（元/月）</w:t>
      </w:r>
    </w:p>
    <w:tbl>
      <w:tblPr>
        <w:tblW w:w="10743" w:type="dxa"/>
        <w:jc w:val="center"/>
        <w:tblCellMar>
          <w:top w:w="15" w:type="dxa"/>
          <w:left w:w="15" w:type="dxa"/>
          <w:bottom w:w="15" w:type="dxa"/>
          <w:right w:w="15" w:type="dxa"/>
        </w:tblCellMar>
        <w:tblLook w:val="04A0"/>
      </w:tblPr>
      <w:tblGrid>
        <w:gridCol w:w="2209"/>
        <w:gridCol w:w="3801"/>
        <w:gridCol w:w="1187"/>
        <w:gridCol w:w="1262"/>
        <w:gridCol w:w="1142"/>
        <w:gridCol w:w="1142"/>
      </w:tblGrid>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职位大类</w:t>
            </w:r>
          </w:p>
        </w:tc>
        <w:tc>
          <w:tcPr>
            <w:tcW w:w="379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具体职位</w:t>
            </w:r>
          </w:p>
        </w:tc>
        <w:tc>
          <w:tcPr>
            <w:tcW w:w="118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平均薪酬</w:t>
            </w:r>
          </w:p>
        </w:tc>
        <w:tc>
          <w:tcPr>
            <w:tcW w:w="3540"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分位薪酬</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50分位</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75分位</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90分位</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人力资源/人事类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人力资源/人事经理/主管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人力资源/人事专员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3957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3499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6266</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行政/文职/后勤类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行政经理/主管/办公室主任/副主任</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4946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5083</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6201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行政专员/助理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3602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3566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4634</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经理助理/秘书/高级文员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4928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4428</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4927</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前台/接待/礼仪</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3353</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3363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3690</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3886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行政司机</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财务/税务/审计/统计类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财务经理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7874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12499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财务主管/会计主管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10748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会计师/会计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4031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3893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4584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5149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出纳</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3129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3281</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3640</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3855</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收银/收费员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2999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3214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3606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3842</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市场/策划/推广类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市场/营销总监</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10590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10416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12707</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14082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市场/营销经理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10124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9249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9999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14498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市场/营销专员/助理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4174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4185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4767</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5456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产品/品牌专员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6166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8199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市场推广专员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4218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4257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4644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4876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市场/营销策划专员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4562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5333</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5732</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销售类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销售总监</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15624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13332</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14999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25999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销售经理/主任</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11754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8999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14305</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18387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6895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6956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7477</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7790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招商/渠道/分销/拓展经理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10812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11153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13460</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14844</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招商/渠道/分销/拓展主管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招商/渠道/分销/拓展专员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4215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4287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4660</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4883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区域市场/销售经理/主管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9232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11563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客户经理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6407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5124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8832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9532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销售代表</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5126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4770</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5908</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7690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推销员/业务员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4279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3877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5728</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7721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7954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8624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9311</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9724</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电话销售员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4150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4115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4941</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7139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销售行政专员/助理</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7624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8666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9332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9732</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客服/技术支持类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客服经理/主管（非技术）</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4832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客服专员/助理（非技术）</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4911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7758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客户咨询/服务/热线/呼叫中心服务人员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计算机软件类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软件工程师/程序员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4437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3915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4832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7039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数据库工程师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6468</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6768</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7383</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7752</w:t>
            </w:r>
          </w:p>
        </w:tc>
      </w:tr>
      <w:tr w:rsidR="006713CD" w:rsidRPr="00922A75" w:rsidTr="00A50022">
        <w:trPr>
          <w:jc w:val="center"/>
        </w:trPr>
        <w:tc>
          <w:tcPr>
            <w:tcW w:w="2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互联网/网络应用类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网页设计/制作/美工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3232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3408</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3953</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建筑/工程类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给排水/水电工程师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6590</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8624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9449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工程造价师/预结算/审计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5612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5414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6592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8031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工程招投标/报批报建</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5195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5136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5658</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5971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工程管理/项目经理/主管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6911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6646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8499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12437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工程监理/督导/验收</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3927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3490</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4750</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5780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施工员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4952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5053</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6018</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7206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资料员/合同管理员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4154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3886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5305</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5788</w:t>
            </w:r>
          </w:p>
        </w:tc>
      </w:tr>
      <w:tr w:rsidR="006713CD" w:rsidRPr="00922A75" w:rsidTr="00A50022">
        <w:trPr>
          <w:jc w:val="center"/>
        </w:trPr>
        <w:tc>
          <w:tcPr>
            <w:tcW w:w="2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房地产/房地产中介类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置业顾问</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7497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7174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9486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12535</w:t>
            </w:r>
          </w:p>
        </w:tc>
      </w:tr>
      <w:tr w:rsidR="006713CD" w:rsidRPr="00922A75" w:rsidTr="00A50022">
        <w:trPr>
          <w:jc w:val="center"/>
        </w:trPr>
        <w:tc>
          <w:tcPr>
            <w:tcW w:w="220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银行类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信贷管理/信用调查/稽核分析</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7454</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8200</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9299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9958</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技工类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其他技工类</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3937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3726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4333</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普工/杂工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3691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3777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4408</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4762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组装工/包装工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4285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4642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4856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电工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3776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3628</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4729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CNC技工/数控车床操作员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3785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3582</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3874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空调工/电梯工/锅炉工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3562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3532</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3959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叉车/吊车工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3587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3547</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3821</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3986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电焊/铆焊/切割工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4447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3965</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4612</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8065</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钳工/机修工/钣金工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3749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3681</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4416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5439</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汽车4S/维修/驾培类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汽车维修高级技工</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3713</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6249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7299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整车销售/顾问/经纪</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3235</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3532</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4739</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质量保证/品质管理类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体系/认证工程师/审核员（ISO等）</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5142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4874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6600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质检员/测试员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3642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3624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4649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化验员/检测员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3861</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3599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4226</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6065</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品质/管理工程师（QA/QC工程师）</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品质/管理主管（QA/QC主管）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4999</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5166</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5749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6600</w:t>
            </w:r>
          </w:p>
        </w:tc>
      </w:tr>
      <w:tr w:rsidR="006713CD" w:rsidRPr="00922A75" w:rsidTr="00A50022">
        <w:trPr>
          <w:jc w:val="center"/>
        </w:trPr>
        <w:tc>
          <w:tcPr>
            <w:tcW w:w="220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生产制造/工厂管理类</w:t>
            </w: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化验员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4042</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4208</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4645</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4907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生产项目经理/主管</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6817</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5874</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8899</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9559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79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生产文员</w:t>
            </w:r>
          </w:p>
        </w:tc>
        <w:tc>
          <w:tcPr>
            <w:tcW w:w="118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2666</w:t>
            </w:r>
          </w:p>
        </w:tc>
        <w:tc>
          <w:tcPr>
            <w:tcW w:w="12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3249</w:t>
            </w:r>
          </w:p>
        </w:tc>
        <w:tc>
          <w:tcPr>
            <w:tcW w:w="114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3624</w:t>
            </w:r>
          </w:p>
        </w:tc>
        <w:tc>
          <w:tcPr>
            <w:tcW w:w="112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3849</w:t>
            </w:r>
          </w:p>
        </w:tc>
      </w:tr>
    </w:tbl>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3"/>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（三）桂林市</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2020年第二季度广西人才网中工作地为桂林市的用人单位发布职位的平均薪酬为5634元/月，环比增长10.16%；而求职者期望薪酬为5088元/月，环比下滑0.50%。</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近三年各季度工作地为桂林市的求职者期望薪酬和用人单位发布职位平均薪酬对比走势图如下：</w:t>
      </w:r>
    </w:p>
    <w:p w:rsidR="006713CD" w:rsidRPr="00922A75" w:rsidRDefault="006713CD" w:rsidP="006713CD">
      <w:pPr>
        <w:widowControl/>
        <w:shd w:val="clear" w:color="auto" w:fill="FFFFFF"/>
        <w:jc w:val="center"/>
        <w:rPr>
          <w:rFonts w:ascii="微软雅黑" w:eastAsia="微软雅黑" w:hAnsi="微软雅黑" w:cs="宋体" w:hint="eastAsia"/>
          <w:color w:val="333333"/>
          <w:kern w:val="0"/>
          <w:sz w:val="17"/>
          <w:szCs w:val="17"/>
        </w:rPr>
      </w:pPr>
      <w:r>
        <w:rPr>
          <w:rFonts w:ascii="微软雅黑" w:eastAsia="微软雅黑" w:hAnsi="微软雅黑" w:cs="宋体"/>
          <w:noProof/>
          <w:color w:val="333333"/>
          <w:kern w:val="0"/>
          <w:sz w:val="19"/>
          <w:szCs w:val="19"/>
        </w:rPr>
        <w:lastRenderedPageBreak/>
        <w:drawing>
          <wp:inline distT="0" distB="0" distL="0" distR="0">
            <wp:extent cx="7124700" cy="3779520"/>
            <wp:effectExtent l="19050" t="0" r="0" b="0"/>
            <wp:docPr id="42" name="图片 42" descr="http://image.gxrc.com/news/images/2020/c1871631-91bf-4991-8116-4a7e72d31a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gxrc.com/news/images/2020/c1871631-91bf-4991-8116-4a7e72d31a9e.png"/>
                    <pic:cNvPicPr>
                      <a:picLocks noChangeAspect="1" noChangeArrowheads="1"/>
                    </pic:cNvPicPr>
                  </pic:nvPicPr>
                  <pic:blipFill>
                    <a:blip r:embed="rId14" cstate="print"/>
                    <a:srcRect/>
                    <a:stretch>
                      <a:fillRect/>
                    </a:stretch>
                  </pic:blipFill>
                  <pic:spPr bwMode="auto">
                    <a:xfrm>
                      <a:off x="0" y="0"/>
                      <a:ext cx="7124700" cy="3779520"/>
                    </a:xfrm>
                    <a:prstGeom prst="rect">
                      <a:avLst/>
                    </a:prstGeom>
                    <a:noFill/>
                    <a:ln w="9525">
                      <a:noFill/>
                      <a:miter lim="800000"/>
                      <a:headEnd/>
                      <a:tailEnd/>
                    </a:ln>
                  </pic:spPr>
                </pic:pic>
              </a:graphicData>
            </a:graphic>
          </wp:inline>
        </w:drawing>
      </w: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2020年第二季度广西人才网桂林市部分具体职位薪酬参考（元/月）</w:t>
      </w:r>
    </w:p>
    <w:tbl>
      <w:tblPr>
        <w:tblW w:w="10848" w:type="dxa"/>
        <w:jc w:val="center"/>
        <w:tblCellMar>
          <w:top w:w="15" w:type="dxa"/>
          <w:left w:w="15" w:type="dxa"/>
          <w:bottom w:w="15" w:type="dxa"/>
          <w:right w:w="15" w:type="dxa"/>
        </w:tblCellMar>
        <w:tblLook w:val="04A0"/>
      </w:tblPr>
      <w:tblGrid>
        <w:gridCol w:w="2448"/>
        <w:gridCol w:w="3065"/>
        <w:gridCol w:w="1653"/>
        <w:gridCol w:w="1518"/>
        <w:gridCol w:w="1082"/>
        <w:gridCol w:w="1082"/>
      </w:tblGrid>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职位大类</w:t>
            </w:r>
          </w:p>
        </w:tc>
        <w:tc>
          <w:tcPr>
            <w:tcW w:w="306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具体职位</w:t>
            </w:r>
          </w:p>
        </w:tc>
        <w:tc>
          <w:tcPr>
            <w:tcW w:w="16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平均薪酬</w:t>
            </w:r>
          </w:p>
        </w:tc>
        <w:tc>
          <w:tcPr>
            <w:tcW w:w="3675" w:type="dxa"/>
            <w:gridSpan w:val="3"/>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分位薪酬</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50分位</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75分位</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b/>
                <w:bCs/>
                <w:kern w:val="0"/>
                <w:sz w:val="19"/>
                <w:szCs w:val="19"/>
              </w:rPr>
              <w:t>90分位</w:t>
            </w:r>
          </w:p>
        </w:tc>
      </w:tr>
      <w:tr w:rsidR="006713CD" w:rsidRPr="00922A75" w:rsidTr="00A50022">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经营管理类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首席运营官COO/副总经理/副总裁</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15499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15833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17916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19165</w:t>
            </w:r>
          </w:p>
        </w:tc>
      </w:tr>
      <w:tr w:rsidR="006713CD" w:rsidRPr="00922A75" w:rsidTr="00A50022">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人力资源/人事类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人力资源/人事专员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3815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3590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3890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5360</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行政/文职/后勤类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行政经理/主管/办公室主任/副主任</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6957</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9199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9918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行政专员/助理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3340</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4166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5266</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经理助理/秘书/高级文员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4541</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4374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4973</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财务/税务/审计/统计类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会计师/会计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4869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6356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7342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出纳</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4366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4166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5699</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市场/策划/推广类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市场/营销经理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7337</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7132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7699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8398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市场/营销专员/助理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6890</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6954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7476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7790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市场推广专员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5653</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6099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8536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9413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市场/营销策划专员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3980</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3428</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4832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6959</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销售类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销售经理/主任</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7394</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5790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8817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9853</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区域市场/销售经理/主管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9268</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7856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13699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销售代表</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5626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5015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6586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8669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推销员/业务员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5145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5142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6666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7465</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电话销售员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8457</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8400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10500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13199</w:t>
            </w:r>
          </w:p>
        </w:tc>
      </w:tr>
      <w:tr w:rsidR="006713CD" w:rsidRPr="00922A75" w:rsidTr="00A50022">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客服/技术支持类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客服专员/助理（非技术）</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4088</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3843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4923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5595</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计算机软件类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软件工程师/程序员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10055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10500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14099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数据库工程师</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3832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4249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4624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4849</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互联网/网络应用类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网站推广</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5285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5363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5681</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5871</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网页设计/制作/美工</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3388</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3437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3718</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3886</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建筑/工程类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给排水/水电工程师</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6399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5666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8333</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9332</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工程造价师/预结算/审计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8142</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6785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11441</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14267</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工程招投标/报批报建</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8466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8374</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9311</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9874</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工程管理/项目经理/主管</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12920</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12695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15077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19529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工程监理/督导/验收</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7726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5686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9798</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施工员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4785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4557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4960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6600</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资料员/合同管理员</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5216</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4738</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6100</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7479</w:t>
            </w:r>
          </w:p>
        </w:tc>
      </w:tr>
      <w:tr w:rsidR="006713CD" w:rsidRPr="00922A75" w:rsidTr="00A50022">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t>房地产/房地产中介类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置业顾问</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7547</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7087</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10655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13261</w:t>
            </w:r>
          </w:p>
        </w:tc>
      </w:tr>
      <w:tr w:rsidR="006713CD" w:rsidRPr="00922A75" w:rsidTr="00A50022">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textAlignment w:val="center"/>
              <w:rPr>
                <w:rFonts w:ascii="宋体" w:hAnsi="宋体" w:cs="宋体"/>
                <w:kern w:val="0"/>
                <w:sz w:val="24"/>
                <w:szCs w:val="24"/>
              </w:rPr>
            </w:pPr>
            <w:r w:rsidRPr="00922A75">
              <w:rPr>
                <w:rFonts w:ascii="宋体" w:hAnsi="宋体" w:cs="宋体" w:hint="eastAsia"/>
                <w:kern w:val="0"/>
                <w:sz w:val="19"/>
                <w:szCs w:val="19"/>
              </w:rPr>
              <w:lastRenderedPageBreak/>
              <w:t>银行类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信贷管理/信用调查/稽核分析</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6785</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7699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8600</w:t>
            </w:r>
          </w:p>
        </w:tc>
      </w:tr>
      <w:tr w:rsidR="006713CD" w:rsidRPr="00922A75" w:rsidTr="00A50022">
        <w:trPr>
          <w:jc w:val="center"/>
        </w:trPr>
        <w:tc>
          <w:tcPr>
            <w:tcW w:w="244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酒店/旅游类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酒店/宾馆经理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8221</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7166</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7915</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15499</w:t>
            </w:r>
          </w:p>
        </w:tc>
      </w:tr>
      <w:tr w:rsidR="006713CD" w:rsidRPr="00922A75" w:rsidTr="00A50022">
        <w:trPr>
          <w:jc w:val="center"/>
        </w:trPr>
        <w:tc>
          <w:tcPr>
            <w:tcW w:w="2445"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center"/>
              <w:rPr>
                <w:rFonts w:ascii="宋体" w:hAnsi="宋体" w:cs="宋体"/>
                <w:kern w:val="0"/>
                <w:sz w:val="24"/>
                <w:szCs w:val="24"/>
              </w:rPr>
            </w:pPr>
            <w:r w:rsidRPr="00922A75">
              <w:rPr>
                <w:rFonts w:ascii="宋体" w:hAnsi="宋体" w:cs="宋体" w:hint="eastAsia"/>
                <w:kern w:val="0"/>
                <w:sz w:val="19"/>
                <w:szCs w:val="19"/>
              </w:rPr>
              <w:t>餐饮/娱乐类</w:t>
            </w: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行政主厨/厨师长</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5999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5749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6499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7399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餐饮/娱乐服务生</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2884</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2811</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3349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3739</w:t>
            </w:r>
          </w:p>
        </w:tc>
      </w:tr>
      <w:tr w:rsidR="006713CD" w:rsidRPr="00922A75" w:rsidTr="00A5002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713CD" w:rsidRPr="00922A75" w:rsidRDefault="006713CD" w:rsidP="00A50022">
            <w:pPr>
              <w:widowControl/>
              <w:jc w:val="left"/>
              <w:rPr>
                <w:rFonts w:ascii="宋体" w:hAnsi="宋体" w:cs="宋体"/>
                <w:kern w:val="0"/>
                <w:sz w:val="24"/>
                <w:szCs w:val="24"/>
              </w:rPr>
            </w:pPr>
          </w:p>
        </w:tc>
        <w:tc>
          <w:tcPr>
            <w:tcW w:w="306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left"/>
              <w:textAlignment w:val="center"/>
              <w:rPr>
                <w:rFonts w:ascii="宋体" w:hAnsi="宋体" w:cs="宋体"/>
                <w:kern w:val="0"/>
                <w:sz w:val="24"/>
                <w:szCs w:val="24"/>
              </w:rPr>
            </w:pPr>
            <w:r w:rsidRPr="00922A75">
              <w:rPr>
                <w:rFonts w:ascii="宋体" w:hAnsi="宋体" w:cs="宋体" w:hint="eastAsia"/>
                <w:kern w:val="0"/>
                <w:sz w:val="19"/>
                <w:szCs w:val="19"/>
              </w:rPr>
              <w:t>餐饮/娱乐管理</w:t>
            </w:r>
          </w:p>
        </w:tc>
        <w:tc>
          <w:tcPr>
            <w:tcW w:w="165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2699</w:t>
            </w:r>
          </w:p>
        </w:tc>
        <w:tc>
          <w:tcPr>
            <w:tcW w:w="1515"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1999</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3832</w:t>
            </w:r>
          </w:p>
        </w:tc>
        <w:tc>
          <w:tcPr>
            <w:tcW w:w="10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rsidR="006713CD" w:rsidRPr="00922A75" w:rsidRDefault="006713CD" w:rsidP="00A50022">
            <w:pPr>
              <w:widowControl/>
              <w:jc w:val="right"/>
              <w:textAlignment w:val="center"/>
              <w:rPr>
                <w:rFonts w:ascii="宋体" w:hAnsi="宋体" w:cs="宋体"/>
                <w:kern w:val="0"/>
                <w:sz w:val="24"/>
                <w:szCs w:val="24"/>
              </w:rPr>
            </w:pPr>
            <w:r w:rsidRPr="00922A75">
              <w:rPr>
                <w:rFonts w:ascii="宋体" w:hAnsi="宋体" w:cs="宋体" w:hint="eastAsia"/>
                <w:kern w:val="0"/>
                <w:sz w:val="19"/>
                <w:szCs w:val="19"/>
              </w:rPr>
              <w:t>4999</w:t>
            </w:r>
          </w:p>
        </w:tc>
      </w:tr>
    </w:tbl>
    <w:p w:rsidR="006713CD" w:rsidRPr="00922A75" w:rsidRDefault="006713CD" w:rsidP="006713CD">
      <w:pPr>
        <w:widowControl/>
        <w:shd w:val="clear" w:color="auto" w:fill="FFFFFF"/>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 </w:t>
      </w:r>
    </w:p>
    <w:p w:rsidR="006713CD" w:rsidRPr="00922A75" w:rsidRDefault="006713CD" w:rsidP="006713CD">
      <w:pPr>
        <w:widowControl/>
        <w:shd w:val="clear" w:color="auto" w:fill="FFFFFF"/>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 </w:t>
      </w:r>
    </w:p>
    <w:p w:rsidR="006713CD" w:rsidRPr="00922A75" w:rsidRDefault="006713CD" w:rsidP="006713CD">
      <w:pPr>
        <w:widowControl/>
        <w:shd w:val="clear" w:color="auto" w:fill="FFFFFF"/>
        <w:ind w:firstLine="472"/>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注1：</w:t>
      </w:r>
      <w:r w:rsidRPr="00922A75">
        <w:rPr>
          <w:rFonts w:ascii="微软雅黑" w:eastAsia="微软雅黑" w:hAnsi="微软雅黑" w:cs="宋体" w:hint="eastAsia"/>
          <w:color w:val="333333"/>
          <w:kern w:val="0"/>
          <w:sz w:val="19"/>
          <w:szCs w:val="19"/>
        </w:rPr>
        <w:t>广西人才网（原广西人才网联系统）是以广西人才网为数据库管理中心，整合柳州、桂林、梧州、北海、防城港、钦州、贵港、玉林、百色、贺州、河池、来宾、崇左等市级网站，形成数据库共享、服务内容和服务标准统一、基本覆盖广西全区范围的人才供求信息网络服务系统，在广西网上人才交流业务领域具有一定代表性。</w:t>
      </w:r>
    </w:p>
    <w:p w:rsidR="006713CD" w:rsidRPr="00922A75" w:rsidRDefault="006713CD" w:rsidP="006713CD">
      <w:pPr>
        <w:widowControl/>
        <w:shd w:val="clear" w:color="auto" w:fill="FFFFFF"/>
        <w:ind w:firstLine="643"/>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注2：</w:t>
      </w:r>
      <w:r w:rsidRPr="00922A75">
        <w:rPr>
          <w:rFonts w:ascii="微软雅黑" w:eastAsia="微软雅黑" w:hAnsi="微软雅黑" w:cs="宋体" w:hint="eastAsia"/>
          <w:color w:val="333333"/>
          <w:kern w:val="0"/>
          <w:sz w:val="19"/>
          <w:szCs w:val="19"/>
        </w:rPr>
        <w:t>本报告所指薪酬是广西人才网中用人单位发布职位或求职者期望的税前总体收入水平，包含个人所缴纳的五险一金等内容（即应发工资），其展现的是招聘过程中职位对应的收入水平，主要折算为月薪进行计算，供用人单位和求职者参考使用。</w:t>
      </w:r>
    </w:p>
    <w:p w:rsidR="006713CD" w:rsidRPr="00922A75" w:rsidRDefault="006713CD" w:rsidP="006713CD">
      <w:pPr>
        <w:widowControl/>
        <w:shd w:val="clear" w:color="auto" w:fill="FFFFFF"/>
        <w:ind w:firstLine="643"/>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注3：</w:t>
      </w:r>
      <w:r w:rsidRPr="00922A75">
        <w:rPr>
          <w:rFonts w:ascii="微软雅黑" w:eastAsia="微软雅黑" w:hAnsi="微软雅黑" w:cs="宋体" w:hint="eastAsia"/>
          <w:color w:val="333333"/>
          <w:kern w:val="0"/>
          <w:sz w:val="19"/>
          <w:szCs w:val="19"/>
        </w:rPr>
        <w:t>本报告数据来源于广西人才网，经去除重复、不完整以及无效数据、违背国家法律法规的不合理数据，限定单个职位样本量个数（单个职位薪酬数据限定为至少25个样本，低于25个样本的职位薪酬数据不予统计，行业惯例为7个）等数据处理方式，确定2020年第二季度超过15万个符合要求的职位薪酬数据信息作为统计样本。在统计指标上，同时采用平均薪酬和分位薪酬统计方式。</w:t>
      </w:r>
    </w:p>
    <w:p w:rsidR="006713CD" w:rsidRPr="00922A75" w:rsidRDefault="006713CD" w:rsidP="006713CD">
      <w:pPr>
        <w:widowControl/>
        <w:shd w:val="clear" w:color="auto" w:fill="FFFFFF"/>
        <w:ind w:firstLine="643"/>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lastRenderedPageBreak/>
        <w:t>注4：职位平均薪酬</w:t>
      </w:r>
      <w:r w:rsidRPr="00922A75">
        <w:rPr>
          <w:rFonts w:ascii="微软雅黑" w:eastAsia="微软雅黑" w:hAnsi="微软雅黑" w:cs="宋体" w:hint="eastAsia"/>
          <w:color w:val="333333"/>
          <w:kern w:val="0"/>
          <w:sz w:val="19"/>
          <w:szCs w:val="19"/>
        </w:rPr>
        <w:t>指的是所属职位类别中用人单位发布职位的薪酬样本加权平均值，不代表单个职位的实际薪酬，例如高级管理类职位平均薪酬为11929元/月，但其有很多副总以上级别的高薪职位薪酬更高。</w:t>
      </w:r>
      <w:r w:rsidRPr="00922A75">
        <w:rPr>
          <w:rFonts w:ascii="微软雅黑" w:eastAsia="微软雅黑" w:hAnsi="微软雅黑" w:cs="宋体" w:hint="eastAsia"/>
          <w:b/>
          <w:bCs/>
          <w:color w:val="333333"/>
          <w:kern w:val="0"/>
          <w:sz w:val="19"/>
          <w:szCs w:val="19"/>
        </w:rPr>
        <w:t>期望薪酬</w:t>
      </w:r>
      <w:r w:rsidRPr="00922A75">
        <w:rPr>
          <w:rFonts w:ascii="微软雅黑" w:eastAsia="微软雅黑" w:hAnsi="微软雅黑" w:cs="宋体" w:hint="eastAsia"/>
          <w:color w:val="333333"/>
          <w:kern w:val="0"/>
          <w:sz w:val="19"/>
          <w:szCs w:val="19"/>
        </w:rPr>
        <w:t>指的是求职者期望从事职位类别的薪酬样本加权平均值。</w:t>
      </w:r>
    </w:p>
    <w:p w:rsidR="006713CD" w:rsidRPr="00922A75" w:rsidRDefault="006713CD" w:rsidP="006713CD">
      <w:pPr>
        <w:widowControl/>
        <w:shd w:val="clear" w:color="auto" w:fill="FFFFFF"/>
        <w:ind w:firstLine="643"/>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b/>
          <w:bCs/>
          <w:color w:val="333333"/>
          <w:kern w:val="0"/>
          <w:sz w:val="19"/>
          <w:szCs w:val="19"/>
        </w:rPr>
        <w:t>注5：分位薪酬</w:t>
      </w:r>
      <w:r w:rsidRPr="00922A75">
        <w:rPr>
          <w:rFonts w:ascii="微软雅黑" w:eastAsia="微软雅黑" w:hAnsi="微软雅黑" w:cs="宋体" w:hint="eastAsia"/>
          <w:color w:val="333333"/>
          <w:kern w:val="0"/>
          <w:sz w:val="19"/>
          <w:szCs w:val="19"/>
        </w:rPr>
        <w:t>水平显示的是该职位中低于一定比例的薪酬水平，便于用人单位和求职者对照和定位自身职位薪酬的竞争水平等级，其中90分位代表高端、75分位代表中高端、50分位代表中端、25分位代表中低端、10分位代表低端。例如某职位75分位的薪酬水平为5000元/月，即表示该职位中有占比75%的职位薪酬低于5000元/月，而5000元/月也代表了该职位薪酬的市场中高端水平。</w:t>
      </w:r>
    </w:p>
    <w:p w:rsidR="006713CD" w:rsidRPr="00922A75" w:rsidRDefault="006713CD" w:rsidP="006713CD">
      <w:pPr>
        <w:widowControl/>
        <w:shd w:val="clear" w:color="auto" w:fill="FFFFFF"/>
        <w:ind w:firstLine="640"/>
        <w:jc w:val="lef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 </w:t>
      </w:r>
    </w:p>
    <w:p w:rsidR="006713CD" w:rsidRPr="00922A75" w:rsidRDefault="006713CD" w:rsidP="006713CD">
      <w:pPr>
        <w:widowControl/>
        <w:shd w:val="clear" w:color="auto" w:fill="FFFFFF"/>
        <w:ind w:firstLine="5980"/>
        <w:jc w:val="righ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中国广西人才市场</w:t>
      </w:r>
    </w:p>
    <w:p w:rsidR="006713CD" w:rsidRPr="00922A75" w:rsidRDefault="006713CD" w:rsidP="006713CD">
      <w:pPr>
        <w:widowControl/>
        <w:shd w:val="clear" w:color="auto" w:fill="FFFFFF"/>
        <w:jc w:val="right"/>
        <w:rPr>
          <w:rFonts w:ascii="微软雅黑" w:eastAsia="微软雅黑" w:hAnsi="微软雅黑" w:cs="宋体" w:hint="eastAsia"/>
          <w:color w:val="333333"/>
          <w:kern w:val="0"/>
          <w:sz w:val="17"/>
          <w:szCs w:val="17"/>
        </w:rPr>
      </w:pPr>
      <w:r w:rsidRPr="00922A75">
        <w:rPr>
          <w:rFonts w:ascii="微软雅黑" w:eastAsia="微软雅黑" w:hAnsi="微软雅黑" w:cs="宋体" w:hint="eastAsia"/>
          <w:color w:val="333333"/>
          <w:kern w:val="0"/>
          <w:sz w:val="19"/>
          <w:szCs w:val="19"/>
        </w:rPr>
        <w:t>                                     2020年7月22日</w:t>
      </w:r>
    </w:p>
    <w:p w:rsidR="006713CD" w:rsidRPr="00922A75" w:rsidRDefault="006713CD" w:rsidP="006713CD"/>
    <w:p w:rsidR="000D603B" w:rsidRDefault="000D603B"/>
    <w:sectPr w:rsidR="000D603B" w:rsidSect="007F5EDB">
      <w:footerReference w:type="default" r:id="rId15"/>
      <w:pgSz w:w="16838" w:h="11906" w:orient="landscape"/>
      <w:pgMar w:top="1588" w:right="1418" w:bottom="124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75" w:rsidRDefault="006713CD">
    <w:pPr>
      <w:pStyle w:val="a3"/>
      <w:framePr w:wrap="around" w:hAnchor="page" w:x="341" w:y="-20"/>
      <w:rPr>
        <w:rStyle w:val="a5"/>
        <w:sz w:val="28"/>
        <w:szCs w:val="28"/>
      </w:rPr>
    </w:pPr>
    <w:r>
      <w:rPr>
        <w:rStyle w:val="a5"/>
        <w:rFonts w:hint="eastAsia"/>
        <w:sz w:val="28"/>
        <w:szCs w:val="28"/>
      </w:rPr>
      <w:t>－</w:t>
    </w: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1</w:t>
    </w:r>
    <w:r>
      <w:rPr>
        <w:rStyle w:val="a5"/>
        <w:sz w:val="28"/>
        <w:szCs w:val="28"/>
      </w:rPr>
      <w:fldChar w:fldCharType="end"/>
    </w:r>
    <w:r>
      <w:rPr>
        <w:rStyle w:val="a5"/>
        <w:rFonts w:hint="eastAsia"/>
        <w:sz w:val="28"/>
        <w:szCs w:val="28"/>
      </w:rPr>
      <w:t>－</w:t>
    </w:r>
  </w:p>
  <w:p w:rsidR="00922A75" w:rsidRDefault="006713CD">
    <w:pPr>
      <w:pStyle w:val="a3"/>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342FB34"/>
    <w:lvl w:ilvl="0">
      <w:start w:val="1"/>
      <w:numFmt w:val="chineseCounting"/>
      <w:suff w:val="nothing"/>
      <w:lvlText w:val="%1、"/>
      <w:lvlJc w:val="left"/>
      <w:rPr>
        <w:rFonts w:hint="eastAsia"/>
      </w:rPr>
    </w:lvl>
  </w:abstractNum>
  <w:abstractNum w:abstractNumId="1">
    <w:nsid w:val="00000002"/>
    <w:multiLevelType w:val="multilevel"/>
    <w:tmpl w:val="220B3521"/>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0000003"/>
    <w:multiLevelType w:val="singleLevel"/>
    <w:tmpl w:val="600FDA69"/>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3CD"/>
    <w:rsid w:val="000D603B"/>
    <w:rsid w:val="00671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3CD"/>
    <w:pPr>
      <w:widowControl w:val="0"/>
      <w:jc w:val="both"/>
    </w:pPr>
    <w:rPr>
      <w:rFonts w:ascii="Times New Roman" w:eastAsia="宋体" w:hAnsi="Times New Roman" w:cs="Times New Roman"/>
      <w:szCs w:val="21"/>
    </w:rPr>
  </w:style>
  <w:style w:type="paragraph" w:styleId="4">
    <w:name w:val="heading 4"/>
    <w:basedOn w:val="a"/>
    <w:next w:val="a"/>
    <w:link w:val="40"/>
    <w:uiPriority w:val="9"/>
    <w:qFormat/>
    <w:rsid w:val="006713CD"/>
    <w:pPr>
      <w:keepNext/>
      <w:keepLines/>
      <w:spacing w:before="280" w:after="290" w:line="376" w:lineRule="auto"/>
      <w:ind w:firstLineChars="250" w:firstLine="250"/>
      <w:outlineLvl w:val="3"/>
    </w:pPr>
    <w:rPr>
      <w:rFonts w:ascii="Cambria" w:hAnsi="Cambria"/>
      <w:b/>
      <w:bCs/>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semiHidden/>
    <w:rsid w:val="006713CD"/>
    <w:rPr>
      <w:rFonts w:asciiTheme="majorHAnsi" w:eastAsiaTheme="majorEastAsia" w:hAnsiTheme="majorHAnsi" w:cstheme="majorBidi"/>
      <w:b/>
      <w:bCs/>
      <w:sz w:val="28"/>
      <w:szCs w:val="28"/>
    </w:rPr>
  </w:style>
  <w:style w:type="character" w:customStyle="1" w:styleId="40">
    <w:name w:val="标题 4 字符"/>
    <w:link w:val="4"/>
    <w:uiPriority w:val="9"/>
    <w:rsid w:val="006713CD"/>
    <w:rPr>
      <w:rFonts w:ascii="Cambria" w:eastAsia="宋体" w:hAnsi="Cambria" w:cs="Times New Roman"/>
      <w:b/>
      <w:bCs/>
      <w:kern w:val="0"/>
      <w:sz w:val="28"/>
      <w:szCs w:val="28"/>
      <w:lang/>
    </w:rPr>
  </w:style>
  <w:style w:type="paragraph" w:styleId="a3">
    <w:name w:val="footer"/>
    <w:basedOn w:val="a"/>
    <w:link w:val="a4"/>
    <w:qFormat/>
    <w:rsid w:val="006713C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6713CD"/>
    <w:rPr>
      <w:rFonts w:ascii="Times New Roman" w:eastAsia="宋体" w:hAnsi="Times New Roman" w:cs="Times New Roman"/>
      <w:sz w:val="18"/>
      <w:szCs w:val="18"/>
    </w:rPr>
  </w:style>
  <w:style w:type="character" w:customStyle="1" w:styleId="a4">
    <w:name w:val="页脚 字符"/>
    <w:link w:val="a3"/>
    <w:rsid w:val="006713CD"/>
    <w:rPr>
      <w:rFonts w:ascii="Times New Roman" w:eastAsia="宋体" w:hAnsi="Times New Roman" w:cs="Times New Roman"/>
      <w:sz w:val="18"/>
      <w:szCs w:val="18"/>
    </w:rPr>
  </w:style>
  <w:style w:type="paragraph" w:customStyle="1" w:styleId="Style2">
    <w:name w:val="_Style 2"/>
    <w:basedOn w:val="a"/>
    <w:qFormat/>
    <w:rsid w:val="006713CD"/>
    <w:rPr>
      <w:rFonts w:ascii="Tahoma" w:hAnsi="Tahoma"/>
      <w:sz w:val="24"/>
      <w:szCs w:val="20"/>
    </w:rPr>
  </w:style>
  <w:style w:type="character" w:styleId="a5">
    <w:name w:val="page number"/>
    <w:basedOn w:val="a0"/>
    <w:qFormat/>
    <w:rsid w:val="006713CD"/>
  </w:style>
  <w:style w:type="paragraph" w:styleId="a6">
    <w:name w:val="header"/>
    <w:basedOn w:val="a"/>
    <w:link w:val="Char0"/>
    <w:rsid w:val="006713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6713CD"/>
    <w:rPr>
      <w:rFonts w:ascii="Times New Roman" w:eastAsia="宋体" w:hAnsi="Times New Roman" w:cs="Times New Roman"/>
      <w:sz w:val="18"/>
      <w:szCs w:val="18"/>
    </w:rPr>
  </w:style>
  <w:style w:type="paragraph" w:styleId="a7">
    <w:name w:val="Body Text Indent"/>
    <w:basedOn w:val="a"/>
    <w:link w:val="Char1"/>
    <w:rsid w:val="006713CD"/>
    <w:pPr>
      <w:ind w:firstLineChars="200" w:firstLine="560"/>
    </w:pPr>
    <w:rPr>
      <w:rFonts w:ascii="仿宋_GB2312" w:eastAsia="仿宋_GB2312"/>
      <w:spacing w:val="-20"/>
      <w:sz w:val="32"/>
      <w:szCs w:val="24"/>
    </w:rPr>
  </w:style>
  <w:style w:type="character" w:customStyle="1" w:styleId="Char1">
    <w:name w:val="正文文本缩进 Char"/>
    <w:basedOn w:val="a0"/>
    <w:link w:val="a7"/>
    <w:rsid w:val="006713CD"/>
    <w:rPr>
      <w:rFonts w:ascii="仿宋_GB2312" w:eastAsia="仿宋_GB2312" w:hAnsi="Times New Roman" w:cs="Times New Roman"/>
      <w:spacing w:val="-20"/>
      <w:sz w:val="32"/>
      <w:szCs w:val="24"/>
    </w:rPr>
  </w:style>
  <w:style w:type="paragraph" w:styleId="a8">
    <w:name w:val="List Paragraph"/>
    <w:basedOn w:val="a"/>
    <w:qFormat/>
    <w:rsid w:val="006713CD"/>
    <w:pPr>
      <w:ind w:firstLineChars="200" w:firstLine="420"/>
    </w:pPr>
    <w:rPr>
      <w:szCs w:val="22"/>
    </w:rPr>
  </w:style>
  <w:style w:type="paragraph" w:styleId="a9">
    <w:name w:val="Balloon Text"/>
    <w:basedOn w:val="a"/>
    <w:link w:val="Char2"/>
    <w:rsid w:val="006713CD"/>
    <w:rPr>
      <w:sz w:val="18"/>
      <w:szCs w:val="18"/>
    </w:rPr>
  </w:style>
  <w:style w:type="character" w:customStyle="1" w:styleId="Char2">
    <w:name w:val="批注框文本 Char"/>
    <w:basedOn w:val="a0"/>
    <w:link w:val="a9"/>
    <w:rsid w:val="006713CD"/>
    <w:rPr>
      <w:rFonts w:ascii="Times New Roman" w:eastAsia="宋体" w:hAnsi="Times New Roman" w:cs="Times New Roman"/>
      <w:sz w:val="18"/>
      <w:szCs w:val="18"/>
    </w:rPr>
  </w:style>
  <w:style w:type="character" w:styleId="aa">
    <w:name w:val="Hyperlink"/>
    <w:uiPriority w:val="99"/>
    <w:qFormat/>
    <w:rsid w:val="006713CD"/>
    <w:rPr>
      <w:color w:val="0000FF"/>
      <w:u w:val="none"/>
    </w:rPr>
  </w:style>
  <w:style w:type="paragraph" w:styleId="ab">
    <w:name w:val="Date"/>
    <w:basedOn w:val="a"/>
    <w:next w:val="a"/>
    <w:link w:val="Char3"/>
    <w:rsid w:val="006713CD"/>
    <w:pPr>
      <w:ind w:leftChars="2500" w:left="100"/>
    </w:pPr>
  </w:style>
  <w:style w:type="character" w:customStyle="1" w:styleId="Char3">
    <w:name w:val="日期 Char"/>
    <w:basedOn w:val="a0"/>
    <w:link w:val="ab"/>
    <w:rsid w:val="006713CD"/>
    <w:rPr>
      <w:rFonts w:ascii="Times New Roman" w:eastAsia="宋体" w:hAnsi="Times New Roman" w:cs="Times New Roman"/>
      <w:szCs w:val="21"/>
    </w:rPr>
  </w:style>
  <w:style w:type="character" w:styleId="ac">
    <w:name w:val="annotation reference"/>
    <w:uiPriority w:val="99"/>
    <w:unhideWhenUsed/>
    <w:rsid w:val="006713CD"/>
    <w:rPr>
      <w:sz w:val="21"/>
      <w:szCs w:val="21"/>
    </w:rPr>
  </w:style>
  <w:style w:type="paragraph" w:styleId="ad">
    <w:name w:val="annotation text"/>
    <w:basedOn w:val="a"/>
    <w:link w:val="ae"/>
    <w:uiPriority w:val="99"/>
    <w:unhideWhenUsed/>
    <w:rsid w:val="006713CD"/>
    <w:pPr>
      <w:jc w:val="left"/>
    </w:pPr>
    <w:rPr>
      <w:rFonts w:ascii="Calibri" w:hAnsi="Calibri"/>
      <w:szCs w:val="22"/>
      <w:lang/>
    </w:rPr>
  </w:style>
  <w:style w:type="character" w:customStyle="1" w:styleId="Char4">
    <w:name w:val="批注文字 Char"/>
    <w:basedOn w:val="a0"/>
    <w:link w:val="ad"/>
    <w:rsid w:val="006713CD"/>
    <w:rPr>
      <w:rFonts w:ascii="Times New Roman" w:eastAsia="宋体" w:hAnsi="Times New Roman" w:cs="Times New Roman"/>
      <w:szCs w:val="21"/>
    </w:rPr>
  </w:style>
  <w:style w:type="character" w:customStyle="1" w:styleId="ae">
    <w:name w:val="批注文字 字符"/>
    <w:link w:val="ad"/>
    <w:uiPriority w:val="99"/>
    <w:rsid w:val="006713CD"/>
    <w:rPr>
      <w:rFonts w:ascii="Calibri" w:eastAsia="宋体" w:hAnsi="Calibri" w:cs="Times New Roman"/>
      <w:lang/>
    </w:rPr>
  </w:style>
  <w:style w:type="paragraph" w:customStyle="1" w:styleId="CharCharCharChar">
    <w:name w:val="Char Char Char Char"/>
    <w:basedOn w:val="a"/>
    <w:rsid w:val="006713CD"/>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2020-09-21T09:36:00Z</dcterms:created>
  <dcterms:modified xsi:type="dcterms:W3CDTF">2020-09-21T09:36:00Z</dcterms:modified>
</cp:coreProperties>
</file>