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4A" w:rsidRPr="00693C4A" w:rsidRDefault="00693C4A" w:rsidP="00693C4A">
      <w:pPr>
        <w:widowControl/>
        <w:shd w:val="clear" w:color="auto" w:fill="FFFFFF"/>
        <w:jc w:val="center"/>
        <w:outlineLvl w:val="0"/>
        <w:rPr>
          <w:rFonts w:ascii="微软雅黑" w:eastAsia="微软雅黑" w:hAnsi="微软雅黑" w:cs="宋体"/>
          <w:color w:val="333333"/>
          <w:kern w:val="36"/>
          <w:sz w:val="38"/>
          <w:szCs w:val="38"/>
        </w:rPr>
      </w:pPr>
      <w:r w:rsidRPr="00693C4A">
        <w:rPr>
          <w:rFonts w:ascii="微软雅黑" w:eastAsia="微软雅黑" w:hAnsi="微软雅黑" w:cs="宋体" w:hint="eastAsia"/>
          <w:color w:val="333333"/>
          <w:kern w:val="36"/>
          <w:sz w:val="38"/>
          <w:szCs w:val="38"/>
        </w:rPr>
        <w:t>2021年第二季度广西人才网薪酬报告</w:t>
      </w:r>
    </w:p>
    <w:p w:rsidR="00693C4A" w:rsidRPr="00693C4A" w:rsidRDefault="00693C4A" w:rsidP="00693C4A">
      <w:pPr>
        <w:widowControl/>
        <w:shd w:val="clear" w:color="auto" w:fill="FFFFFF"/>
        <w:spacing w:line="376" w:lineRule="atLeast"/>
        <w:ind w:firstLineChars="200" w:firstLine="400"/>
        <w:rPr>
          <w:rFonts w:ascii="宋体" w:eastAsia="宋体" w:hAnsi="宋体" w:cs="宋体" w:hint="eastAsia"/>
          <w:color w:val="333333"/>
          <w:kern w:val="0"/>
          <w:sz w:val="24"/>
          <w:szCs w:val="24"/>
        </w:rPr>
      </w:pPr>
      <w:r w:rsidRPr="00693C4A">
        <w:rPr>
          <w:rFonts w:ascii="宋体" w:eastAsia="宋体" w:hAnsi="宋体" w:cs="宋体"/>
          <w:color w:val="333333"/>
          <w:kern w:val="0"/>
          <w:sz w:val="20"/>
          <w:szCs w:val="20"/>
        </w:rPr>
        <w:t>2021年第二季度广西人才网中用人单位发布职位的平均薪酬（其定义见注4，下同）为5799元/月，环比下滑1.75%，同比增长8.08%；而求职者期望薪酬(其定义见注4，下同）为5492元/月，环比增长1.17%，同比增长10.93%。用人单位提供的职位薪酬水平总体维持高位，大部分职位薪酬出现增长，但也有超过四成的职位薪酬出现环比下滑。</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3"/>
        </w:rPr>
        <w:t>一、总体薪酬情况</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0"/>
        </w:rPr>
        <w:t>（一）总体薪酬水平持续走高</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2021年第二季度广西人才网中用人单位发布职位的平均薪酬水平环比小有下滑，但依旧接近6000元/月水平，并由此带动求职者期望不断提升。</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近五年求职者期望薪酬和用人单位发布职位平均薪酬对比走势图如下：</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lastRenderedPageBreak/>
        <w:drawing>
          <wp:inline distT="0" distB="0" distL="0" distR="0">
            <wp:extent cx="6575425" cy="4134485"/>
            <wp:effectExtent l="19050" t="0" r="0" b="0"/>
            <wp:docPr id="1" name="图片 1" descr="https://image.gxrc.com/news/images/2021/468b1e94-9a49-4049-bb09-01d30bbab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gxrc.com/news/images/2021/468b1e94-9a49-4049-bb09-01d30bbab024.png"/>
                    <pic:cNvPicPr>
                      <a:picLocks noChangeAspect="1" noChangeArrowheads="1"/>
                    </pic:cNvPicPr>
                  </pic:nvPicPr>
                  <pic:blipFill>
                    <a:blip r:embed="rId4" cstate="print"/>
                    <a:srcRect/>
                    <a:stretch>
                      <a:fillRect/>
                    </a:stretch>
                  </pic:blipFill>
                  <pic:spPr bwMode="auto">
                    <a:xfrm>
                      <a:off x="0" y="0"/>
                      <a:ext cx="6575425" cy="4134485"/>
                    </a:xfrm>
                    <a:prstGeom prst="rect">
                      <a:avLst/>
                    </a:prstGeom>
                    <a:noFill/>
                    <a:ln w="9525">
                      <a:noFill/>
                      <a:miter lim="800000"/>
                      <a:headEnd/>
                      <a:tailEnd/>
                    </a:ln>
                  </pic:spPr>
                </pic:pic>
              </a:graphicData>
            </a:graphic>
          </wp:inline>
        </w:drawing>
      </w:r>
      <w:r w:rsidRPr="00693C4A">
        <w:rPr>
          <w:rFonts w:ascii="宋体" w:eastAsia="宋体" w:hAnsi="宋体" w:cs="宋体"/>
          <w:color w:val="333333"/>
          <w:kern w:val="0"/>
          <w:sz w:val="20"/>
          <w:szCs w:val="20"/>
        </w:rPr>
        <w:t> </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其中，分位值数据显示，用人单位发布职位薪酬的中位数（其定义见注5，下同）为4731元/月，与上季度相比稍有回落，环比下降3.38%，同比增长4.88%。</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近五年求职者期望薪酬和用人单位发布职位薪酬中位值对比走势图如下：</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lastRenderedPageBreak/>
        <w:drawing>
          <wp:inline distT="0" distB="0" distL="0" distR="0">
            <wp:extent cx="6639560" cy="4182110"/>
            <wp:effectExtent l="19050" t="0" r="8890" b="0"/>
            <wp:docPr id="2" name="图片 2" descr="https://image.gxrc.com/news/images/2021/880cbfb1-5ad4-4949-83f9-a511b02771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gxrc.com/news/images/2021/880cbfb1-5ad4-4949-83f9-a511b02771bb.png"/>
                    <pic:cNvPicPr>
                      <a:picLocks noChangeAspect="1" noChangeArrowheads="1"/>
                    </pic:cNvPicPr>
                  </pic:nvPicPr>
                  <pic:blipFill>
                    <a:blip r:embed="rId5" cstate="print"/>
                    <a:srcRect/>
                    <a:stretch>
                      <a:fillRect/>
                    </a:stretch>
                  </pic:blipFill>
                  <pic:spPr bwMode="auto">
                    <a:xfrm>
                      <a:off x="0" y="0"/>
                      <a:ext cx="6639560" cy="4182110"/>
                    </a:xfrm>
                    <a:prstGeom prst="rect">
                      <a:avLst/>
                    </a:prstGeom>
                    <a:noFill/>
                    <a:ln w="9525">
                      <a:noFill/>
                      <a:miter lim="800000"/>
                      <a:headEnd/>
                      <a:tailEnd/>
                    </a:ln>
                  </pic:spPr>
                </pic:pic>
              </a:graphicData>
            </a:graphic>
          </wp:inline>
        </w:drawing>
      </w:r>
      <w:r w:rsidRPr="00693C4A">
        <w:rPr>
          <w:rFonts w:ascii="宋体" w:eastAsia="宋体" w:hAnsi="宋体" w:cs="宋体"/>
          <w:color w:val="333333"/>
          <w:kern w:val="0"/>
          <w:sz w:val="20"/>
          <w:szCs w:val="20"/>
        </w:rPr>
        <w:t> </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0"/>
        </w:rPr>
        <w:t>（二）主流平均薪酬区间职位占比波动明显</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本季度职位薪酬区间占比仍主要集中在3000-3999元/月和4000-4999元/月这两个区间，占比分别达到21.40%和20.48%。与上季度相比，这两个区间职位占比均呈现不同程度的回升，3000-3999元/月薪酬区间职位占比环比增长2.25个百分点，4000-4999元/月区间薪酬的职位占比环比增长1.89个百分点。</w:t>
      </w:r>
      <w:r w:rsidRPr="00693C4A">
        <w:rPr>
          <w:rFonts w:ascii="宋体" w:eastAsia="宋体" w:hAnsi="宋体" w:cs="宋体"/>
          <w:color w:val="333333"/>
          <w:kern w:val="0"/>
          <w:sz w:val="20"/>
          <w:szCs w:val="20"/>
        </w:rPr>
        <w:lastRenderedPageBreak/>
        <w:t>8000-9999元/月职位占比为9.23%，环比持续小幅增长，上升0.6个百分点。而5000-5999元/月和10000-19999元/月区间占比分别为13.26%和6.83%，环比呈现不同程度的下降，分别下降0.89和1.26个百分点。经过上个季度的异军突起，本季度6000-7999元/月区间占比回落至13.92%，环比下降2.15个百分点。3000-19999元/月平均薪酬区间职位占比波动较为明显，而2999以下元/月低薪以及20000以上元/月高薪两端平均薪酬区间职位占比较为稳定。</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与上季度相比，职位数量在各个薪酬区间的分布图如下：</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sidRPr="00693C4A">
        <w:rPr>
          <w:rFonts w:ascii="宋体" w:eastAsia="宋体" w:hAnsi="宋体" w:cs="宋体"/>
          <w:color w:val="333333"/>
          <w:kern w:val="0"/>
          <w:sz w:val="20"/>
          <w:szCs w:val="20"/>
        </w:rPr>
        <w:lastRenderedPageBreak/>
        <w:t> </w:t>
      </w:r>
      <w:r>
        <w:rPr>
          <w:rFonts w:ascii="宋体" w:eastAsia="宋体" w:hAnsi="宋体" w:cs="宋体"/>
          <w:noProof/>
          <w:color w:val="333333"/>
          <w:kern w:val="0"/>
          <w:sz w:val="20"/>
          <w:szCs w:val="20"/>
        </w:rPr>
        <w:drawing>
          <wp:inline distT="0" distB="0" distL="0" distR="0">
            <wp:extent cx="8809990" cy="4524375"/>
            <wp:effectExtent l="19050" t="0" r="0" b="0"/>
            <wp:docPr id="3" name="图片 3" descr="https://image.gxrc.com/news/images/2021/5decfac8-4160-4ec0-8c3a-b4075edec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gxrc.com/news/images/2021/5decfac8-4160-4ec0-8c3a-b4075edec223.png"/>
                    <pic:cNvPicPr>
                      <a:picLocks noChangeAspect="1" noChangeArrowheads="1"/>
                    </pic:cNvPicPr>
                  </pic:nvPicPr>
                  <pic:blipFill>
                    <a:blip r:embed="rId6" cstate="print"/>
                    <a:srcRect/>
                    <a:stretch>
                      <a:fillRect/>
                    </a:stretch>
                  </pic:blipFill>
                  <pic:spPr bwMode="auto">
                    <a:xfrm>
                      <a:off x="0" y="0"/>
                      <a:ext cx="8809990" cy="4524375"/>
                    </a:xfrm>
                    <a:prstGeom prst="rect">
                      <a:avLst/>
                    </a:prstGeom>
                    <a:noFill/>
                    <a:ln w="9525">
                      <a:noFill/>
                      <a:miter lim="800000"/>
                      <a:headEnd/>
                      <a:tailEnd/>
                    </a:ln>
                  </pic:spPr>
                </pic:pic>
              </a:graphicData>
            </a:graphic>
          </wp:inline>
        </w:drawing>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0"/>
        </w:rPr>
        <w:t>（三）求职者期望薪酬占比变化平稳且较集中</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lastRenderedPageBreak/>
        <w:t>2021年第二季度，求职者期望薪酬整体呈现正态分布，且变化比较平稳。其中，3000-3999元/月区间集中有35.17%的求职者，仍是广西人才网求职者期望最集中的薪酬区间。</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与上季度相比，求职者期望在各个薪酬区间的分布图如下：</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818245" cy="3705225"/>
            <wp:effectExtent l="19050" t="0" r="1905" b="0"/>
            <wp:docPr id="4" name="图片 4" descr="https://image.gxrc.com/news/images/2021/3c81d05a-0c9e-4e9c-b0a5-714b0edf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gxrc.com/news/images/2021/3c81d05a-0c9e-4e9c-b0a5-714b0edf1032.png"/>
                    <pic:cNvPicPr>
                      <a:picLocks noChangeAspect="1" noChangeArrowheads="1"/>
                    </pic:cNvPicPr>
                  </pic:nvPicPr>
                  <pic:blipFill>
                    <a:blip r:embed="rId7" cstate="print"/>
                    <a:srcRect/>
                    <a:stretch>
                      <a:fillRect/>
                    </a:stretch>
                  </pic:blipFill>
                  <pic:spPr bwMode="auto">
                    <a:xfrm>
                      <a:off x="0" y="0"/>
                      <a:ext cx="8818245" cy="3705225"/>
                    </a:xfrm>
                    <a:prstGeom prst="rect">
                      <a:avLst/>
                    </a:prstGeom>
                    <a:noFill/>
                    <a:ln w="9525">
                      <a:noFill/>
                      <a:miter lim="800000"/>
                      <a:headEnd/>
                      <a:tailEnd/>
                    </a:ln>
                  </pic:spPr>
                </pic:pic>
              </a:graphicData>
            </a:graphic>
          </wp:inline>
        </w:drawing>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0"/>
        </w:rPr>
        <w:t>（四）职位平均薪酬明显高于求职者期望薪酬</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用人单位发布职位的平均薪酬明显高于求职者期望薪酬，3000-3999元/月区间集中了35.17%的求职者，但仅有21.40%的职位，该区间为代表的中间基层求职者竞争激烈。而6000-19999元/月高薪区间均呈现职位占比高于求职者占比的现状。</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lastRenderedPageBreak/>
        <w:t>2021年第二季度求职者期望与职位薪酬（各薪酬区间分布）对比曲线图：</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sidRPr="00693C4A">
        <w:rPr>
          <w:rFonts w:ascii="宋体" w:eastAsia="宋体" w:hAnsi="宋体" w:cs="宋体"/>
          <w:color w:val="333333"/>
          <w:kern w:val="0"/>
          <w:sz w:val="20"/>
          <w:szCs w:val="20"/>
        </w:rPr>
        <w:t> </w:t>
      </w:r>
      <w:r>
        <w:rPr>
          <w:rFonts w:ascii="宋体" w:eastAsia="宋体" w:hAnsi="宋体" w:cs="宋体"/>
          <w:noProof/>
          <w:color w:val="333333"/>
          <w:kern w:val="0"/>
          <w:sz w:val="20"/>
          <w:szCs w:val="20"/>
        </w:rPr>
        <w:drawing>
          <wp:inline distT="0" distB="0" distL="0" distR="0">
            <wp:extent cx="8547735" cy="3657600"/>
            <wp:effectExtent l="19050" t="0" r="5715" b="0"/>
            <wp:docPr id="5" name="图片 5" descr="https://image.gxrc.com/news/images/2021/4d0663a1-d52b-4ee3-8e7f-3141e5e522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gxrc.com/news/images/2021/4d0663a1-d52b-4ee3-8e7f-3141e5e5221b.png"/>
                    <pic:cNvPicPr>
                      <a:picLocks noChangeAspect="1" noChangeArrowheads="1"/>
                    </pic:cNvPicPr>
                  </pic:nvPicPr>
                  <pic:blipFill>
                    <a:blip r:embed="rId8" cstate="print"/>
                    <a:srcRect/>
                    <a:stretch>
                      <a:fillRect/>
                    </a:stretch>
                  </pic:blipFill>
                  <pic:spPr bwMode="auto">
                    <a:xfrm>
                      <a:off x="0" y="0"/>
                      <a:ext cx="8547735" cy="3657600"/>
                    </a:xfrm>
                    <a:prstGeom prst="rect">
                      <a:avLst/>
                    </a:prstGeom>
                    <a:noFill/>
                    <a:ln w="9525">
                      <a:noFill/>
                      <a:miter lim="800000"/>
                      <a:headEnd/>
                      <a:tailEnd/>
                    </a:ln>
                  </pic:spPr>
                </pic:pic>
              </a:graphicData>
            </a:graphic>
          </wp:inline>
        </w:drawing>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其他详细区间近六年变化趋势图如下：</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1、近六年较低薪酬区间（单位：元/月）的职位数量占比曲线图如下：</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lastRenderedPageBreak/>
        <w:drawing>
          <wp:inline distT="0" distB="0" distL="0" distR="0">
            <wp:extent cx="8651240" cy="5120640"/>
            <wp:effectExtent l="19050" t="0" r="0" b="0"/>
            <wp:docPr id="6" name="图片 6" descr="https://image.gxrc.com/news/images/2021/ffbb44a4-0acf-4f92-99f4-3834c8906a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gxrc.com/news/images/2021/ffbb44a4-0acf-4f92-99f4-3834c8906aa7.png"/>
                    <pic:cNvPicPr>
                      <a:picLocks noChangeAspect="1" noChangeArrowheads="1"/>
                    </pic:cNvPicPr>
                  </pic:nvPicPr>
                  <pic:blipFill>
                    <a:blip r:embed="rId9" cstate="print"/>
                    <a:srcRect/>
                    <a:stretch>
                      <a:fillRect/>
                    </a:stretch>
                  </pic:blipFill>
                  <pic:spPr bwMode="auto">
                    <a:xfrm>
                      <a:off x="0" y="0"/>
                      <a:ext cx="8651240" cy="5120640"/>
                    </a:xfrm>
                    <a:prstGeom prst="rect">
                      <a:avLst/>
                    </a:prstGeom>
                    <a:noFill/>
                    <a:ln w="9525">
                      <a:noFill/>
                      <a:miter lim="800000"/>
                      <a:headEnd/>
                      <a:tailEnd/>
                    </a:ln>
                  </pic:spPr>
                </pic:pic>
              </a:graphicData>
            </a:graphic>
          </wp:inline>
        </w:drawing>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lastRenderedPageBreak/>
        <w:t>2、近六年主要薪酬区间（单位：元/月）的职位数量占比曲线图如下：</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lastRenderedPageBreak/>
        <w:drawing>
          <wp:inline distT="0" distB="0" distL="0" distR="0">
            <wp:extent cx="8658860" cy="5263515"/>
            <wp:effectExtent l="19050" t="0" r="8890" b="0"/>
            <wp:docPr id="7" name="图片 7" descr="https://image.gxrc.com/news/images/2021/6b0f8592-08aa-4b21-ab12-edf6b883f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gxrc.com/news/images/2021/6b0f8592-08aa-4b21-ab12-edf6b883f626.png"/>
                    <pic:cNvPicPr>
                      <a:picLocks noChangeAspect="1" noChangeArrowheads="1"/>
                    </pic:cNvPicPr>
                  </pic:nvPicPr>
                  <pic:blipFill>
                    <a:blip r:embed="rId10" cstate="print"/>
                    <a:srcRect/>
                    <a:stretch>
                      <a:fillRect/>
                    </a:stretch>
                  </pic:blipFill>
                  <pic:spPr bwMode="auto">
                    <a:xfrm>
                      <a:off x="0" y="0"/>
                      <a:ext cx="8658860" cy="5263515"/>
                    </a:xfrm>
                    <a:prstGeom prst="rect">
                      <a:avLst/>
                    </a:prstGeom>
                    <a:noFill/>
                    <a:ln w="9525">
                      <a:noFill/>
                      <a:miter lim="800000"/>
                      <a:headEnd/>
                      <a:tailEnd/>
                    </a:ln>
                  </pic:spPr>
                </pic:pic>
              </a:graphicData>
            </a:graphic>
          </wp:inline>
        </w:drawing>
      </w:r>
      <w:r w:rsidRPr="00693C4A">
        <w:rPr>
          <w:rFonts w:ascii="宋体" w:eastAsia="宋体" w:hAnsi="宋体" w:cs="宋体"/>
          <w:color w:val="333333"/>
          <w:kern w:val="0"/>
          <w:sz w:val="20"/>
          <w:szCs w:val="20"/>
        </w:rPr>
        <w:t> </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lastRenderedPageBreak/>
        <w:t>3、近六年较高薪酬区间（单位：元/月）的职位数量占比曲线图如下：</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sidRPr="00693C4A">
        <w:rPr>
          <w:rFonts w:ascii="宋体" w:eastAsia="宋体" w:hAnsi="宋体" w:cs="宋体"/>
          <w:color w:val="333333"/>
          <w:kern w:val="0"/>
          <w:sz w:val="20"/>
          <w:szCs w:val="20"/>
        </w:rPr>
        <w:lastRenderedPageBreak/>
        <w:t> </w:t>
      </w:r>
      <w:r>
        <w:rPr>
          <w:rFonts w:ascii="宋体" w:eastAsia="宋体" w:hAnsi="宋体" w:cs="宋体"/>
          <w:noProof/>
          <w:color w:val="333333"/>
          <w:kern w:val="0"/>
          <w:sz w:val="20"/>
          <w:szCs w:val="20"/>
        </w:rPr>
        <w:drawing>
          <wp:inline distT="0" distB="0" distL="0" distR="0">
            <wp:extent cx="8412480" cy="5287645"/>
            <wp:effectExtent l="19050" t="0" r="7620" b="0"/>
            <wp:docPr id="8" name="图片 8" descr="https://image.gxrc.com/news/images/2021/6f13ec12-b08b-4f4f-b79e-56e09983e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gxrc.com/news/images/2021/6f13ec12-b08b-4f4f-b79e-56e09983e862.png"/>
                    <pic:cNvPicPr>
                      <a:picLocks noChangeAspect="1" noChangeArrowheads="1"/>
                    </pic:cNvPicPr>
                  </pic:nvPicPr>
                  <pic:blipFill>
                    <a:blip r:embed="rId11" cstate="print"/>
                    <a:srcRect/>
                    <a:stretch>
                      <a:fillRect/>
                    </a:stretch>
                  </pic:blipFill>
                  <pic:spPr bwMode="auto">
                    <a:xfrm>
                      <a:off x="0" y="0"/>
                      <a:ext cx="8412480" cy="5287645"/>
                    </a:xfrm>
                    <a:prstGeom prst="rect">
                      <a:avLst/>
                    </a:prstGeom>
                    <a:noFill/>
                    <a:ln w="9525">
                      <a:noFill/>
                      <a:miter lim="800000"/>
                      <a:headEnd/>
                      <a:tailEnd/>
                    </a:ln>
                  </pic:spPr>
                </pic:pic>
              </a:graphicData>
            </a:graphic>
          </wp:inline>
        </w:drawing>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3"/>
        </w:rPr>
        <w:lastRenderedPageBreak/>
        <w:t>二、各职位薪酬情况</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0"/>
        </w:rPr>
        <w:t>（一）职位大类薪酬排名情况</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2021年第二季度，广西人才网中用人单位发布职位平均薪酬排名与上季度相比出现一定变化，高级管理类、销售类岗位和金融、房地产、IT等领域职位薪酬水平位居前列，而酒店/旅游类职位薪酬水平跌入最低榜。其中，薪酬最高的前五位职位类别分别为：高级管理类17142元/月、证券/期货/投资管理/服务类9369元/月、房地产开发/经纪/中介类8596元/月、销售类7352元/月及计算机软件开发类7337元/月。与此同时部分职位的平均薪酬水平仍处于较低水平，其中薪酬最低的前五位职位类别分别为：保安/家政服务类3566元/月、餐饮/娱乐类3946元/月、文字媒体/写作类4072元/月、服装/纺织/皮革类4100元/月及酒店/旅游类4173元/月。</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而求职者期望最高的前五位职位类别分别为：高级管理类10097元/月、房地产开发/经纪/中介类8809元/月、IT管理/项目协调类7550元/月、计算机硬件开发类7225元/月及建筑/工程类6622元/月；而期望从事以下五类职位的求职者对薪酬要求较低，包括：保安/家政服务类4201元/月、行政/文职/后勤类4274元/月、文字媒体/写作类4368元/月、文教/科研类4416元/月及出版/印刷类4431元/月。</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具体职位类别的薪酬情况详见附表1-1、1-2。</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0"/>
        </w:rPr>
        <w:t>（二）部分职位类别薪酬变动情况</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2021年第二季度，广西人才网中各职位类别的平均薪酬出现较大波动，最高的职位薪酬增幅环比达到46.38%，最低的职位薪酬降幅环比达到16.15%。</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1、汽车制造类职位平均薪酬逆势增长</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汽车制造类职位平均薪酬由2021年第一季度的4067元/月增至本季度的5953元/月，环比涨幅达到46.38%，是本季度薪酬环比增长幅度最大职位类别。</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2、影视类职位平均薪酬持续增长</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近期影视类职位需求人才数出现较为明显的增长，2021年第二季度该类别职位的平均薪酬水平持续增长，由2021年第一季度的5602元/月增至本季度的6455元/月，环比涨幅达到15.21%，与去年同期相比增长8.58%。</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3、IT类职位平均薪酬呈现不同程度的增长</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2021年二季度IT类职位的平均薪酬水平依旧呈现不同程度的增长。其中，IT质量管理/测试/配置管理类职位平均薪酬由2021年第一季度的5408元/月增至本季度的6153元/月，环比涨幅达到13.78%，与去年同期相比涨幅达到24.05%。</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4、会展/公关/活动类职位平均薪酬有明显增长</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lastRenderedPageBreak/>
        <w:t>会展/公关/活动类职位平均薪酬有明显增长，其平均薪酬由2021年第一季度的4779元/月增至本季度的5462元/月，环比涨幅为14.29%，与去年同期相比增幅为4.48%。</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5、化工类职位平均薪酬降幅明显</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化工类职位平均薪酬回落，其由2021年第一季度的6539元/月降至本季度的5483元/月，环比降幅达到16.15%，比去年同期的6266元/月下滑12.49%。</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6、计算机硬件开发类职位平均薪酬水平有持续下降趋势</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计算机硬件开发类职位平均薪酬水平有持续下降趋势，由2021年第一季度的5469元/月降至本季度的4792元/月，环比降幅达到12.39%，比去年同期的6000元/月也下降20.13%。</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7、互联网产品/运营管理/电子商务类职位平均薪酬回落</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互联网产品/运营管理/电子商务类职位平均薪酬由2021年第一季度的6743元/月降至本季度的6096元/月，环比降幅达到9.60%，但比去年同期的4942元/月增长23.35%。</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8、酒店/旅游类职位薪酬水平走低</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酒店/旅游类职位平均薪酬由2021年第一季度的4743元/月降至本季度的4173元/月，环比降幅达到12.01%，但比去年同期的3970元/月增长5.12%。</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b/>
          <w:bCs/>
          <w:color w:val="333333"/>
          <w:kern w:val="0"/>
          <w:sz w:val="23"/>
        </w:rPr>
        <w:t>三、广西人才网各主要工作地薪酬情况</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广西区内各市的用人单位提供的薪酬水平分布中，区内工作地在南宁市的用人单位提供的职位平均薪酬水平较高，达到6110元/月，环比下降1.73%。而贺州市用人单位提供的职位平均薪酬位居全区第二位，达到5862元/月，环比增长28.05%，其求职者期望薪酬为5285元/月。其提供的职位中区域经理、销售经理、总监理工程师等高薪职位较多，因此平均薪酬水平较高。</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广西人才网中区内主要工作地对应的求职者期望薪酬和职位平均薪酬水平分布图如下（单位：元/月）：</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lastRenderedPageBreak/>
        <w:drawing>
          <wp:inline distT="0" distB="0" distL="0" distR="0">
            <wp:extent cx="6631305" cy="4086860"/>
            <wp:effectExtent l="19050" t="0" r="0" b="0"/>
            <wp:docPr id="9" name="图片 9" descr="https://image.gxrc.com/news/images/2021/1d1fc424-2229-4ec7-9301-d4a24d7a20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gxrc.com/news/images/2021/1d1fc424-2229-4ec7-9301-d4a24d7a209f.png"/>
                    <pic:cNvPicPr>
                      <a:picLocks noChangeAspect="1" noChangeArrowheads="1"/>
                    </pic:cNvPicPr>
                  </pic:nvPicPr>
                  <pic:blipFill>
                    <a:blip r:embed="rId12" cstate="print"/>
                    <a:srcRect/>
                    <a:stretch>
                      <a:fillRect/>
                    </a:stretch>
                  </pic:blipFill>
                  <pic:spPr bwMode="auto">
                    <a:xfrm>
                      <a:off x="0" y="0"/>
                      <a:ext cx="6631305" cy="4086860"/>
                    </a:xfrm>
                    <a:prstGeom prst="rect">
                      <a:avLst/>
                    </a:prstGeom>
                    <a:noFill/>
                    <a:ln w="9525">
                      <a:noFill/>
                      <a:miter lim="800000"/>
                      <a:headEnd/>
                      <a:tailEnd/>
                    </a:ln>
                  </pic:spPr>
                </pic:pic>
              </a:graphicData>
            </a:graphic>
          </wp:inline>
        </w:drawing>
      </w:r>
      <w:r w:rsidRPr="00693C4A">
        <w:rPr>
          <w:rFonts w:ascii="宋体" w:eastAsia="宋体" w:hAnsi="宋体" w:cs="宋体"/>
          <w:color w:val="333333"/>
          <w:kern w:val="0"/>
          <w:sz w:val="20"/>
          <w:szCs w:val="20"/>
        </w:rPr>
        <w:t> </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其中，贺州市用人单位发布职位薪酬的中位值（其定义见注5，下同）最高，为5405元/月，环比增长37.87%，其求职者期望薪酬中位数为4389元/月。</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广西人才网中区内主要工作地对应的求职者期望薪酬中位值和职位平均薪酬中位值水平分布图如下（单位：元/月）：</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lastRenderedPageBreak/>
        <w:drawing>
          <wp:inline distT="0" distB="0" distL="0" distR="0">
            <wp:extent cx="6631305" cy="4015105"/>
            <wp:effectExtent l="19050" t="0" r="0" b="0"/>
            <wp:docPr id="10" name="图片 10" descr="https://image.gxrc.com/news/images/2021/f783c255-213a-4549-982e-b874961f1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gxrc.com/news/images/2021/f783c255-213a-4549-982e-b874961f1872.png"/>
                    <pic:cNvPicPr>
                      <a:picLocks noChangeAspect="1" noChangeArrowheads="1"/>
                    </pic:cNvPicPr>
                  </pic:nvPicPr>
                  <pic:blipFill>
                    <a:blip r:embed="rId13" cstate="print"/>
                    <a:srcRect/>
                    <a:stretch>
                      <a:fillRect/>
                    </a:stretch>
                  </pic:blipFill>
                  <pic:spPr bwMode="auto">
                    <a:xfrm>
                      <a:off x="0" y="0"/>
                      <a:ext cx="6631305" cy="4015105"/>
                    </a:xfrm>
                    <a:prstGeom prst="rect">
                      <a:avLst/>
                    </a:prstGeom>
                    <a:noFill/>
                    <a:ln w="9525">
                      <a:noFill/>
                      <a:miter lim="800000"/>
                      <a:headEnd/>
                      <a:tailEnd/>
                    </a:ln>
                  </pic:spPr>
                </pic:pic>
              </a:graphicData>
            </a:graphic>
          </wp:inline>
        </w:drawing>
      </w:r>
      <w:r w:rsidRPr="00693C4A">
        <w:rPr>
          <w:rFonts w:ascii="宋体" w:eastAsia="宋体" w:hAnsi="宋体" w:cs="宋体"/>
          <w:color w:val="333333"/>
          <w:kern w:val="0"/>
          <w:sz w:val="20"/>
          <w:szCs w:val="20"/>
        </w:rPr>
        <w:t> </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另外，用人单位发布驻区外的职位平均薪酬达到7516元/月。本季度区外职位样本占总样本的比重依然较低，但平均薪酬均呈现不同程度的增长。本季度区外职位样本主要集中在广东省，提供的职位平均薪酬达到6989元/月；而区外部分城市中，上海市提供的职位平均薪酬为6976元/月，职位平均薪酬水平较高，其提供的职位中多为项目经理、业务经理等高薪职位。</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广西人才网中区外主要工作地对应的求职者期望薪酬和职位平均薪酬水平分布图如下（单位：元/月）：</w:t>
      </w:r>
    </w:p>
    <w:p w:rsidR="00693C4A" w:rsidRPr="00693C4A" w:rsidRDefault="00693C4A" w:rsidP="00693C4A">
      <w:pPr>
        <w:widowControl/>
        <w:shd w:val="clear" w:color="auto" w:fill="FFFFFF"/>
        <w:spacing w:line="376"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lastRenderedPageBreak/>
        <w:drawing>
          <wp:inline distT="0" distB="0" distL="0" distR="0">
            <wp:extent cx="6536055" cy="3848735"/>
            <wp:effectExtent l="19050" t="0" r="0" b="0"/>
            <wp:docPr id="11" name="图片 11" descr="https://image.gxrc.com/news/images/2021/ae82aea1-35d2-4fbb-8ba9-bd48b673ad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gxrc.com/news/images/2021/ae82aea1-35d2-4fbb-8ba9-bd48b673ad44.png"/>
                    <pic:cNvPicPr>
                      <a:picLocks noChangeAspect="1" noChangeArrowheads="1"/>
                    </pic:cNvPicPr>
                  </pic:nvPicPr>
                  <pic:blipFill>
                    <a:blip r:embed="rId14" cstate="print"/>
                    <a:srcRect/>
                    <a:stretch>
                      <a:fillRect/>
                    </a:stretch>
                  </pic:blipFill>
                  <pic:spPr bwMode="auto">
                    <a:xfrm>
                      <a:off x="0" y="0"/>
                      <a:ext cx="6536055" cy="3848735"/>
                    </a:xfrm>
                    <a:prstGeom prst="rect">
                      <a:avLst/>
                    </a:prstGeom>
                    <a:noFill/>
                    <a:ln w="9525">
                      <a:noFill/>
                      <a:miter lim="800000"/>
                      <a:headEnd/>
                      <a:tailEnd/>
                    </a:ln>
                  </pic:spPr>
                </pic:pic>
              </a:graphicData>
            </a:graphic>
          </wp:inline>
        </w:drawing>
      </w:r>
      <w:r w:rsidRPr="00693C4A">
        <w:rPr>
          <w:rFonts w:ascii="宋体" w:eastAsia="宋体" w:hAnsi="宋体" w:cs="宋体"/>
          <w:color w:val="333333"/>
          <w:kern w:val="0"/>
          <w:sz w:val="20"/>
          <w:szCs w:val="20"/>
        </w:rPr>
        <w:t> </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r w:rsidRPr="00693C4A">
        <w:rPr>
          <w:rFonts w:ascii="宋体" w:eastAsia="宋体" w:hAnsi="宋体" w:cs="宋体"/>
          <w:color w:val="333333"/>
          <w:kern w:val="0"/>
          <w:sz w:val="20"/>
          <w:szCs w:val="20"/>
        </w:rPr>
        <w:t>本季度在广西人才网中，用人单位提供驻国外的职位主要集中在泰国和老挝。驻国外的职位平均薪酬达到14122元/月，期望在国外工作的求职者对薪酬的要求达到8751元/月。</w:t>
      </w:r>
    </w:p>
    <w:p w:rsidR="00693C4A" w:rsidRPr="00693C4A" w:rsidRDefault="00693C4A" w:rsidP="00693C4A">
      <w:pPr>
        <w:widowControl/>
        <w:shd w:val="clear" w:color="auto" w:fill="FFFFFF"/>
        <w:spacing w:line="376" w:lineRule="atLeast"/>
        <w:jc w:val="left"/>
        <w:rPr>
          <w:rFonts w:ascii="宋体" w:eastAsia="宋体" w:hAnsi="宋体" w:cs="宋体"/>
          <w:color w:val="333333"/>
          <w:kern w:val="0"/>
          <w:sz w:val="24"/>
          <w:szCs w:val="24"/>
        </w:rPr>
      </w:pPr>
    </w:p>
    <w:p w:rsidR="00693C4A" w:rsidRPr="00693C4A" w:rsidRDefault="00693C4A" w:rsidP="00693C4A">
      <w:pPr>
        <w:widowControl/>
        <w:shd w:val="clear" w:color="auto" w:fill="FFFFFF"/>
        <w:spacing w:line="376" w:lineRule="atLeast"/>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附表：</w:t>
      </w:r>
    </w:p>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（单位：元/月）</w:t>
      </w:r>
    </w:p>
    <w:tbl>
      <w:tblPr>
        <w:tblW w:w="11029" w:type="dxa"/>
        <w:jc w:val="center"/>
        <w:tblCellMar>
          <w:top w:w="15" w:type="dxa"/>
          <w:left w:w="15" w:type="dxa"/>
          <w:bottom w:w="15" w:type="dxa"/>
          <w:right w:w="15" w:type="dxa"/>
        </w:tblCellMar>
        <w:tblLook w:val="04A0"/>
      </w:tblPr>
      <w:tblGrid>
        <w:gridCol w:w="3375"/>
        <w:gridCol w:w="1876"/>
        <w:gridCol w:w="2086"/>
        <w:gridCol w:w="1696"/>
        <w:gridCol w:w="1996"/>
      </w:tblGrid>
      <w:tr w:rsidR="00693C4A" w:rsidRPr="00693C4A" w:rsidTr="00693C4A">
        <w:trPr>
          <w:jc w:val="center"/>
        </w:trPr>
        <w:tc>
          <w:tcPr>
            <w:tcW w:w="11025"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lastRenderedPageBreak/>
              <w:t>表1-1.2021年第二季度广西人才网用人单位发布的职位薪酬情况表</w:t>
            </w:r>
          </w:p>
        </w:tc>
      </w:tr>
      <w:tr w:rsidR="00693C4A" w:rsidRPr="00693C4A" w:rsidTr="00693C4A">
        <w:trPr>
          <w:jc w:val="center"/>
        </w:trPr>
        <w:tc>
          <w:tcPr>
            <w:tcW w:w="337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职位类别</w:t>
            </w:r>
          </w:p>
        </w:tc>
        <w:tc>
          <w:tcPr>
            <w:tcW w:w="187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职位平均薪酬</w:t>
            </w:r>
          </w:p>
        </w:tc>
        <w:tc>
          <w:tcPr>
            <w:tcW w:w="576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分位薪酬</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50分位</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75分位</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90分位</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农林渔牧类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6290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5532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7210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9802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高级管理类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17142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13360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23184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35175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5018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4439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5645</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7774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行政/文职/后勤类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4178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3763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4714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6088</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财务/税务/审计/统计类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4886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4205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5440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7921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制造业生产管理类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5555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4724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5934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8546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质量保证/品质管理类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5567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5090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6697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8642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采购类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5948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4676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6791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9790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市场/营销/策划/推广类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6684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5605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7876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11131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7352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6065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8548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13232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客服/技术支持类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4917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4405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5718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7677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电力/能源/矿产/测绘类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6567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5632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7801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11336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机械制造类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5848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5470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6943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8387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汽车制造类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6006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7404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9217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汽车4S/维修/驾培类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5550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5086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7565</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9449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化工类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5483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5343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6907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7917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生物/医药/医疗器械类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5949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5216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6816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8848</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轻工/食品/工艺品类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5064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4387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5843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8262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服装/纺织/皮革类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4100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3886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4701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5769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计算机硬件开发类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4792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4294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8507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计算机软件开发类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7337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6711</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8966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12240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lastRenderedPageBreak/>
              <w:t>IT管理/项目协调类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6974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5372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8983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13263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IT质量管理/测试/配置管理类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6153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5200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7288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9533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IT运维/技术支持/系统集成类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5401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4766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8287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互联网/移动互联网开发/设计类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5777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4912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6694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9381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互联网产品/运营管理/电子商务类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6096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5078</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7316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9793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手机/通信技术类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4787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4236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5801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7778</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电子/电器类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5987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5550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7033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8869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出版/印刷类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4273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4284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5209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5845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6957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5797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8518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12337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房地产开发/经纪/中介类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8596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7327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9954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15988</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物业管理类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4601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4075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5351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7574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贸易/进出口类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5333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4579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6288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8597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物流/仓储类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4540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4113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4962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6471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交通运输服务</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7056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5574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8779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13555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证券/期货/投资管理/服务类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9369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7792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11575</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15179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银行类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6759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6273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7766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10610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5875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5144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7021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9311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艺术/设计类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5972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4954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7090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9676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广告类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4759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4387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5429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7424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会展/公关/活动类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5462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4646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7124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9220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影视类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6455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5458</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8479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11556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文字媒体/写作类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4072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3885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5062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5766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百货/超市/零售类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4481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3864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4993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7337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餐饮/娱乐类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3946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3584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4556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5930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lastRenderedPageBreak/>
              <w:t>酒店/旅游类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4173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3577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4447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5931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美容/保健类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6775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6176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8662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12030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翻译类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5901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5749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6922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7704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法律/法务/合规类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6951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5858</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7812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11625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咨询/顾问/中介类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6139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5672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7639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9442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医院/医疗/护理类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6708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5163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7851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11763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文教/科研类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5482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4967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6502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8620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环境保护类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5356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7272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9391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保安/家政服务类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3566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3416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4322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5145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技工类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4967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4656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5804</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7568</w:t>
            </w:r>
          </w:p>
        </w:tc>
      </w:tr>
    </w:tbl>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  </w:t>
      </w:r>
    </w:p>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（单位：元/月）</w:t>
      </w:r>
    </w:p>
    <w:tbl>
      <w:tblPr>
        <w:tblW w:w="11029" w:type="dxa"/>
        <w:jc w:val="center"/>
        <w:tblCellMar>
          <w:top w:w="15" w:type="dxa"/>
          <w:left w:w="15" w:type="dxa"/>
          <w:bottom w:w="15" w:type="dxa"/>
          <w:right w:w="15" w:type="dxa"/>
        </w:tblCellMar>
        <w:tblLook w:val="04A0"/>
      </w:tblPr>
      <w:tblGrid>
        <w:gridCol w:w="3375"/>
        <w:gridCol w:w="1876"/>
        <w:gridCol w:w="2086"/>
        <w:gridCol w:w="1696"/>
        <w:gridCol w:w="1996"/>
      </w:tblGrid>
      <w:tr w:rsidR="00693C4A" w:rsidRPr="00693C4A" w:rsidTr="00693C4A">
        <w:trPr>
          <w:jc w:val="center"/>
        </w:trPr>
        <w:tc>
          <w:tcPr>
            <w:tcW w:w="11025"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表1-2.2021年第二季度广西人才网求职者职位期望薪酬情况表</w:t>
            </w:r>
          </w:p>
        </w:tc>
      </w:tr>
      <w:tr w:rsidR="00693C4A" w:rsidRPr="00693C4A" w:rsidTr="00693C4A">
        <w:trPr>
          <w:jc w:val="center"/>
        </w:trPr>
        <w:tc>
          <w:tcPr>
            <w:tcW w:w="337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职位类别</w:t>
            </w:r>
          </w:p>
        </w:tc>
        <w:tc>
          <w:tcPr>
            <w:tcW w:w="187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期望平均薪酬</w:t>
            </w:r>
          </w:p>
        </w:tc>
        <w:tc>
          <w:tcPr>
            <w:tcW w:w="576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分位值</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50分位</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75分位</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90分位</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农林渔牧类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5569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4763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6487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8734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高级管理类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10097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6407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11923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22256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4934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3994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5390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7630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行政/文职/后勤类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4274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3825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4742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5861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财务/税务/审计/统计类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4700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3908</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5100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7136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制造业生产管理类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5893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4933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6679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9156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质量保证/品质管理类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5273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4577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5907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8133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采购类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5564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4754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6186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8626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市场/营销/策划/推广类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6256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4844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7052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9803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lastRenderedPageBreak/>
              <w:t>销售类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6100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5847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8342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10732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客服/技术支持类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4564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3945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5019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6675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电力/能源/矿产/测绘类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5800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4919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6749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9212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机械制造类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5758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5141</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6836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8875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汽车制造类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5975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5187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7049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9333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汽车4S/维修/驾培类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5254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4420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6192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8672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化工类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5186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4639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5826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7720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生物/医药/医疗器械类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4919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4272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5412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7422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轻工/食品/工艺品类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4650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4153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5175</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6600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服装/纺织/皮革类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5444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4478</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5770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7999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计算机硬件开发类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7225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5223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8356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9854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计算机软件开发类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6404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4636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7877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12450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IT管理/项目协调类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7550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5103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9090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16453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IT质量管理/测试/配置管理类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5211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4330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5977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8481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IT运维/技术支持/系统集成类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5152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4240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5849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8069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互联网/移动互联网开发/设计类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5173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3939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5852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8879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互联网产品/运营管理/电子商务类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4949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3994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5367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7680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手机/通信技术类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4971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4258</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5685</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7822</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电子/电器类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5438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4706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6142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8590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出版/印刷类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4431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3969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5036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6425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6622</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4972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7938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12941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房地产开发/经纪/中介类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8809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5699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10826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18429</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物业管理类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5750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4557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6218</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9198</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贸易/进出口类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4931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4270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5545</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7497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lastRenderedPageBreak/>
              <w:t>物流/仓储类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4679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4159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5220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6707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交通运输服务</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5290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4807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5912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7826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证券/期货/投资管理/服务类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6507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4709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7397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11507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银行类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6074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4692</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6870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9861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5714</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4909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6469</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8947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艺术/设计类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4816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4011</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5520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7595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广告类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5029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4211</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5723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7925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会展/公关/活动类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4915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4371</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5667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7553</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影视类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4841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4147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5497</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7427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文字媒体/写作类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4368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3936</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5012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5995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百货/超市/零售类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4637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3900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4952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6891</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餐饮/娱乐类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4695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3914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5072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7124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酒店/旅游类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4770</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3925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5076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7245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美容/保健类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5395</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4823</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5991</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8546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翻译类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5199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4680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7884</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法律/法务/合规类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5889</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4434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5963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9530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咨询/顾问/中介类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5933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4645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6533</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9490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医院/医疗/护理类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5163</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4350</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5585</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7755</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文教/科研类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4416</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3884</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4946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6246</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环境保护类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5457</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4467</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5892</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8620</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保安/家政服务类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4201</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3755</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4796</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5957</w:t>
            </w:r>
          </w:p>
        </w:tc>
      </w:tr>
      <w:tr w:rsidR="00693C4A" w:rsidRPr="00693C4A" w:rsidTr="00693C4A">
        <w:trPr>
          <w:jc w:val="center"/>
        </w:trPr>
        <w:tc>
          <w:tcPr>
            <w:tcW w:w="33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技工类</w:t>
            </w:r>
          </w:p>
        </w:tc>
        <w:tc>
          <w:tcPr>
            <w:tcW w:w="18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5178</w:t>
            </w:r>
          </w:p>
        </w:tc>
        <w:tc>
          <w:tcPr>
            <w:tcW w:w="20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4829</w:t>
            </w:r>
          </w:p>
        </w:tc>
        <w:tc>
          <w:tcPr>
            <w:tcW w:w="16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5950</w:t>
            </w:r>
          </w:p>
        </w:tc>
        <w:tc>
          <w:tcPr>
            <w:tcW w:w="196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7683</w:t>
            </w:r>
          </w:p>
        </w:tc>
      </w:tr>
    </w:tbl>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 </w:t>
      </w:r>
    </w:p>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（单位：元/月）</w:t>
      </w:r>
    </w:p>
    <w:tbl>
      <w:tblPr>
        <w:tblW w:w="10517" w:type="dxa"/>
        <w:jc w:val="center"/>
        <w:tblCellMar>
          <w:top w:w="15" w:type="dxa"/>
          <w:left w:w="15" w:type="dxa"/>
          <w:bottom w:w="15" w:type="dxa"/>
          <w:right w:w="15" w:type="dxa"/>
        </w:tblCellMar>
        <w:tblLook w:val="04A0"/>
      </w:tblPr>
      <w:tblGrid>
        <w:gridCol w:w="1906"/>
        <w:gridCol w:w="3616"/>
        <w:gridCol w:w="1290"/>
        <w:gridCol w:w="1275"/>
        <w:gridCol w:w="1230"/>
        <w:gridCol w:w="1200"/>
      </w:tblGrid>
      <w:tr w:rsidR="00693C4A" w:rsidRPr="00693C4A" w:rsidTr="00693C4A">
        <w:trPr>
          <w:jc w:val="center"/>
        </w:trPr>
        <w:tc>
          <w:tcPr>
            <w:tcW w:w="1051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lastRenderedPageBreak/>
              <w:t>表2-1.2021年第二季度南宁市用人单位发布的部分职位薪酬情况表</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职位大类</w:t>
            </w:r>
          </w:p>
        </w:tc>
        <w:tc>
          <w:tcPr>
            <w:tcW w:w="361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具体职位</w:t>
            </w:r>
          </w:p>
        </w:tc>
        <w:tc>
          <w:tcPr>
            <w:tcW w:w="129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平均薪酬</w:t>
            </w:r>
          </w:p>
        </w:tc>
        <w:tc>
          <w:tcPr>
            <w:tcW w:w="36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分位薪酬</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50分位</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75分位</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90分位</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经营管理类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首席执行官CEO/总裁/总经理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25356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20500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29250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50000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运营总监/企管部经理/企业管理顾问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15478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18331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26499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6647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5984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7666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9519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4604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4253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4888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5733</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行政/文职/后勤类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行政经理/主管/办公室主任/副主任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8323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7177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9606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13430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3872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3668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4352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5207</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经理助理/秘书/高级文员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4896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5947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7447</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前台/接待/礼仪</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3651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4410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5624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行政司机</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4154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4279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4779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5363</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财务/税务/审计/统计类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10972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9175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14105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18070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财务主管/会计主管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6190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7259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9324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会计师/会计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4195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4253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4946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5959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出纳</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3858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3751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4410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4926</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收银/收费员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3007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3257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3708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3979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市场/策划/推广类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市场/营销总监</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13906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13310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16614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19145</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13179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11190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14582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19247</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6171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5110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8099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9838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6675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5372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8433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10380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产品/品牌经理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7775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7427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9221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12199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产品/品牌主管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8166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9265</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产品/品牌专员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4737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4416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6291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7915</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市场推广经理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7244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6691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9415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12681</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市场推广专员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5929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5936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7393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8724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市场/营销策划经理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8887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6928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9582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16372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市场/营销策划专员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5591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4827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5922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销售总监</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19548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16135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24721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37252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销售经理/主任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13192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9907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14741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23483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7462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9162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11616</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招商/渠道/分销/拓展经理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8717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7646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9650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15974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招商/渠道/分销/拓展主管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6879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9070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10833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招商/渠道/分销/拓展专员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6360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5791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7613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9610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区域市场/销售经理/主管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7175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6342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8321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12592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客户经理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7034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5891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8788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10214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销售代表</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6687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5621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7979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11016</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推销员/业务员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6010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4806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6889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9680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6901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5793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8596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10432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电话销售员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7071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8397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15236</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销售行政专员/助理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5090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5050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7479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客服/技术支持类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客服经理/主管（非技术）</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6687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5935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7870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11394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客服专员/助理（非技术）</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4222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5028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7242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客户咨询/服务/热线/呼叫中心服务人员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4555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4460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4930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6904</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计算机软件类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软件工程师/程序员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8236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7634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9745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13541</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数据库工程师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5962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9199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lastRenderedPageBreak/>
              <w:t>互联网/网络应用类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网站运营经理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7576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7181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7771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9398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网站编辑/论坛维护/内容监管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3673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3249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4939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网页设计/制作/美工</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4739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5824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8218</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建筑工程师/注册建筑师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16036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12650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14766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35599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土木/土建工程师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12663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12291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14200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16786</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给排水/水电工程师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7594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6133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9686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13333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工程造价师/预结算/审计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6184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5620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8122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11259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工程招投标/报批报建</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4835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4431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5555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8719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工程管理/项目经理/主管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8788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7445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11353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16285</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工程监理/督导/验收</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7983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5093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8948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13147</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施工员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4976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4842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6630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7879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资料员/合同管理员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4856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4472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5767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7806</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房地产/房地产中介类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房地产开发/策划经理/主管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8466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房地产销售/置业顾问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10346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8244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13089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19822</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证券/投资/其他金融类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投资顾问/基金经理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10649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9713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14999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投资/理财顾问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6639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8454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11453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金融资产评估/风险控制</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7451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7042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7818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9217</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信贷管理/信用调查/稽核分析</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6388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6464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7457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8270</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保险业务经理/主管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5332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5891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7318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保险代理/经纪人/客户经理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6494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5675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8811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9628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保险核保/理赔服务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5839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8845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9537</w:t>
            </w:r>
          </w:p>
        </w:tc>
      </w:tr>
    </w:tbl>
    <w:p w:rsidR="00693C4A" w:rsidRPr="00693C4A" w:rsidRDefault="00693C4A" w:rsidP="00693C4A">
      <w:pPr>
        <w:widowControl/>
        <w:shd w:val="clear" w:color="auto" w:fill="FFFFFF"/>
        <w:spacing w:line="376" w:lineRule="atLeast"/>
        <w:jc w:val="left"/>
        <w:rPr>
          <w:rFonts w:ascii="宋体" w:eastAsia="宋体" w:hAnsi="宋体" w:cs="宋体"/>
          <w:color w:val="333333"/>
          <w:kern w:val="0"/>
          <w:sz w:val="24"/>
          <w:szCs w:val="24"/>
        </w:rPr>
      </w:pPr>
    </w:p>
    <w:p w:rsidR="00693C4A" w:rsidRPr="00693C4A" w:rsidRDefault="00693C4A" w:rsidP="00693C4A">
      <w:pPr>
        <w:widowControl/>
        <w:shd w:val="clear" w:color="auto" w:fill="FFFFFF"/>
        <w:spacing w:line="376" w:lineRule="atLeast"/>
        <w:jc w:val="left"/>
        <w:rPr>
          <w:rFonts w:ascii="宋体" w:eastAsia="宋体" w:hAnsi="宋体" w:cs="宋体"/>
          <w:color w:val="333333"/>
          <w:kern w:val="0"/>
          <w:sz w:val="24"/>
          <w:szCs w:val="24"/>
        </w:rPr>
      </w:pPr>
    </w:p>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lastRenderedPageBreak/>
        <w:t>（单位：元/月）</w:t>
      </w:r>
    </w:p>
    <w:tbl>
      <w:tblPr>
        <w:tblW w:w="10517" w:type="dxa"/>
        <w:jc w:val="center"/>
        <w:tblCellMar>
          <w:top w:w="15" w:type="dxa"/>
          <w:left w:w="15" w:type="dxa"/>
          <w:bottom w:w="15" w:type="dxa"/>
          <w:right w:w="15" w:type="dxa"/>
        </w:tblCellMar>
        <w:tblLook w:val="04A0"/>
      </w:tblPr>
      <w:tblGrid>
        <w:gridCol w:w="1906"/>
        <w:gridCol w:w="3796"/>
        <w:gridCol w:w="1110"/>
        <w:gridCol w:w="1275"/>
        <w:gridCol w:w="1230"/>
        <w:gridCol w:w="1200"/>
      </w:tblGrid>
      <w:tr w:rsidR="00693C4A" w:rsidRPr="00693C4A" w:rsidTr="00693C4A">
        <w:trPr>
          <w:jc w:val="center"/>
        </w:trPr>
        <w:tc>
          <w:tcPr>
            <w:tcW w:w="1051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表2-2.2021年第二季度柳州市用人单位发布的职位薪酬情况表</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职位大类</w:t>
            </w:r>
          </w:p>
        </w:tc>
        <w:tc>
          <w:tcPr>
            <w:tcW w:w="37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具体职位</w:t>
            </w:r>
          </w:p>
        </w:tc>
        <w:tc>
          <w:tcPr>
            <w:tcW w:w="111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平均薪酬</w:t>
            </w:r>
          </w:p>
        </w:tc>
        <w:tc>
          <w:tcPr>
            <w:tcW w:w="36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分位薪酬</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50分位</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75分位</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90分位</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经营管理类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首席执行官CEO/总裁/总经理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18749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24999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27999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人力资源/人事经理/主管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5595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5221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5943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7359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人力资源/人事专员/助理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4009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3760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5068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5735</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行政/文职/后勤类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行政经理/主管/办公室主任/副主任</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6268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5624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7165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9398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行政专员/助理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3787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3666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4222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4987</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经理助理/秘书/高级文员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4471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4166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4915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前台/接待/礼仪</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3327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3475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3856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4359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行政司机</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4356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4963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5765</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财务/税务/审计/统计类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财务经理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8307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7624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9165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11748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财务主管/会计主管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5374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5454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5817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6399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会计师/会计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3838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3870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4570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4970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出纳</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3396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3425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3786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4025</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收银/收费员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2842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2743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3727</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市场/策划/推广类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市场/营销总监</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16666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13749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22499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26999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市场/营销经理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9730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8713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9641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18497</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市场/营销主管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市场/营销专员/助理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6943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6222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10500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13199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产品/品牌经理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产品/品牌专员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8070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9719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市场推广专员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5166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8600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市场/营销策划专员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5631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5083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15251</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销售总监</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销售经理/主任</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8099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11623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销售主管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7427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9999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招商/渠道/分销/拓展经理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6049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9999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招商/渠道/分销/拓展主管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7832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招商/渠道/分销/拓展专员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4142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6161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7263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区域市场/销售经理/主管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8832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9532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客户经理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7126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6864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7634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9438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销售代表</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5785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5058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6666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10798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推销员/业务员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4651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3745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5133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8906</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销售工程师</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7325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8230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9114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9645</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电话销售员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3667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2864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5401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6100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销售行政专员/助理</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客服/技术支持类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客服经理/主管（非技术）</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9832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客服专员/助理（非技术）</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4380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4223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5893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客户咨询/服务/热线/呼叫中心服务人员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5099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7499</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计算机软件类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软件工程师/程序员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6463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6470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7293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7787</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互联网/网络应用类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网页设计/制作/美工</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4333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建筑工程师/注册建筑师</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12149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9665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19999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土木/土建工程师</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11606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11249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13436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14748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给排水/水电工程师</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6832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工程造价师/预结算/审计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8577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7777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12158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14135</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工程招投标/报批报建</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5408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4388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5915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工程管理/项目经理/主管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7192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5777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8932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15700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工程监理/督导/验收</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施工员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6101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6285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8713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9484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资料员/合同管理员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3624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房地产/房地产中介类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房地产开发/策划专员</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7799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房地产销售/置业顾问</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9519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9049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12708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17050</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证券/投资/其他金融类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投资/理财顾问</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7055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9549</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保险核保/理赔服务</w:t>
            </w:r>
          </w:p>
        </w:tc>
        <w:tc>
          <w:tcPr>
            <w:tcW w:w="11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4908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4824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4989</w:t>
            </w:r>
          </w:p>
        </w:tc>
      </w:tr>
    </w:tbl>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p>
    <w:p w:rsidR="00693C4A" w:rsidRPr="00693C4A" w:rsidRDefault="00693C4A" w:rsidP="00693C4A">
      <w:pPr>
        <w:widowControl/>
        <w:shd w:val="clear" w:color="auto" w:fill="FFFFFF"/>
        <w:spacing w:line="376" w:lineRule="atLeast"/>
        <w:jc w:val="righ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（单位：元/月）</w:t>
      </w:r>
    </w:p>
    <w:tbl>
      <w:tblPr>
        <w:tblW w:w="10517" w:type="dxa"/>
        <w:jc w:val="center"/>
        <w:tblCellMar>
          <w:top w:w="15" w:type="dxa"/>
          <w:left w:w="15" w:type="dxa"/>
          <w:bottom w:w="15" w:type="dxa"/>
          <w:right w:w="15" w:type="dxa"/>
        </w:tblCellMar>
        <w:tblLook w:val="04A0"/>
      </w:tblPr>
      <w:tblGrid>
        <w:gridCol w:w="1906"/>
        <w:gridCol w:w="3616"/>
        <w:gridCol w:w="1290"/>
        <w:gridCol w:w="1275"/>
        <w:gridCol w:w="1230"/>
        <w:gridCol w:w="1200"/>
      </w:tblGrid>
      <w:tr w:rsidR="00693C4A" w:rsidRPr="00693C4A" w:rsidTr="00693C4A">
        <w:trPr>
          <w:jc w:val="center"/>
        </w:trPr>
        <w:tc>
          <w:tcPr>
            <w:tcW w:w="1051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表2-3.2021年第二季度桂林市用人单位发布的职位薪酬情况表</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职位大类</w:t>
            </w:r>
          </w:p>
        </w:tc>
        <w:tc>
          <w:tcPr>
            <w:tcW w:w="361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具体职位</w:t>
            </w:r>
          </w:p>
        </w:tc>
        <w:tc>
          <w:tcPr>
            <w:tcW w:w="129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平均薪酬</w:t>
            </w:r>
          </w:p>
        </w:tc>
        <w:tc>
          <w:tcPr>
            <w:tcW w:w="36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分位薪酬</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50分位</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75分位</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rPr>
                <w:rFonts w:ascii="宋体" w:eastAsia="宋体" w:hAnsi="宋体" w:cs="宋体"/>
                <w:kern w:val="0"/>
                <w:sz w:val="24"/>
                <w:szCs w:val="24"/>
              </w:rPr>
            </w:pPr>
            <w:r w:rsidRPr="00693C4A">
              <w:rPr>
                <w:rFonts w:ascii="宋体" w:eastAsia="宋体" w:hAnsi="宋体" w:cs="宋体" w:hint="eastAsia"/>
                <w:b/>
                <w:bCs/>
                <w:kern w:val="0"/>
                <w:sz w:val="20"/>
                <w:szCs w:val="20"/>
              </w:rPr>
              <w:t>90分位</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4832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人力资源/人事专员/助理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4071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6100</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行政/文职/后勤类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行政经理/主管/办公室主任/副主任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4999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9898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3356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3856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4732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经理助理/秘书/高级文员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2999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前台/接待/礼仪</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3296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3406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3702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3880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行政司机</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4356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4811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5299</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lastRenderedPageBreak/>
              <w:t>财务/税务/审计/统计类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9249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12000</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财务主管/会计主管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6812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会计师/会计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4666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出纳</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3099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3166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3582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3832</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收银/收费员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3582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3544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3817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3980</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市场/策划/推广类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4409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4250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5312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5724</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市场推广专员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5218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3726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8399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9359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市场/营销策划专员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6999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7838</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销售总监</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17499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17499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19499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销售经理/主任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13799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13749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16874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18749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7213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10624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13249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招商/渠道/分销/拓展经理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10135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12811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14873</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销售代表</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4640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4460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推销员/业务员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4524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4674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5426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5808</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客服/技术支持类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客服专员/助理（非技术）</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4229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3937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5242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5696</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计算机软件类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软件工程师/程序员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8613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8841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9420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9767</w:t>
            </w:r>
          </w:p>
        </w:tc>
      </w:tr>
      <w:tr w:rsidR="00693C4A" w:rsidRPr="00693C4A" w:rsidTr="00693C4A">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建筑工程师/注册建筑师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9317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9099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9649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9978</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给排水/水电工程师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5943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4749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10499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工程造价师/预结算/审计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5317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4374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6332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9599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施工员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5773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5594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5963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7559</w:t>
            </w:r>
          </w:p>
        </w:tc>
      </w:tr>
      <w:tr w:rsidR="00693C4A" w:rsidRPr="00693C4A" w:rsidTr="00693C4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3C4A" w:rsidRPr="00693C4A" w:rsidRDefault="00693C4A" w:rsidP="00693C4A">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资料员/合同管理员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3536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3624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4449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5324</w:t>
            </w:r>
          </w:p>
        </w:tc>
      </w:tr>
      <w:tr w:rsidR="00693C4A" w:rsidRPr="00693C4A" w:rsidTr="00693C4A">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center"/>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房地产/房地产中介类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lef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房地产销售/置业顾问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6532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3788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11249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93C4A" w:rsidRPr="00693C4A" w:rsidRDefault="00693C4A" w:rsidP="00693C4A">
            <w:pPr>
              <w:widowControl/>
              <w:jc w:val="right"/>
              <w:textAlignment w:val="center"/>
              <w:rPr>
                <w:rFonts w:ascii="宋体" w:eastAsia="宋体" w:hAnsi="宋体" w:cs="宋体"/>
                <w:kern w:val="0"/>
                <w:sz w:val="24"/>
                <w:szCs w:val="24"/>
              </w:rPr>
            </w:pPr>
            <w:r w:rsidRPr="00693C4A">
              <w:rPr>
                <w:rFonts w:ascii="宋体" w:eastAsia="宋体" w:hAnsi="宋体" w:cs="宋体" w:hint="eastAsia"/>
                <w:kern w:val="0"/>
                <w:sz w:val="20"/>
                <w:szCs w:val="20"/>
              </w:rPr>
              <w:t>13499</w:t>
            </w:r>
          </w:p>
        </w:tc>
      </w:tr>
    </w:tbl>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lastRenderedPageBreak/>
        <w:t> </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注1：</w:t>
      </w:r>
      <w:r w:rsidRPr="00693C4A">
        <w:rPr>
          <w:rFonts w:ascii="宋体" w:eastAsia="宋体" w:hAnsi="宋体" w:cs="宋体"/>
          <w:color w:val="333333"/>
          <w:kern w:val="0"/>
          <w:sz w:val="20"/>
          <w:szCs w:val="20"/>
        </w:rPr>
        <w:t>广西人才网（原广西人才网联系统）是以广西人才网为数据库管理中心，整合柳州、桂林、梧州、北海、防城港、钦州、贵港、玉林、百色、贺州、河池、来宾、崇左等市级网站，形成数据库共享、服务内容和服务标准统一、基本覆盖广西全区范围的人才供求信息网络服务系统，在广西网上人才交流业务领域具有一定代表性。</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注2：</w:t>
      </w:r>
      <w:r w:rsidRPr="00693C4A">
        <w:rPr>
          <w:rFonts w:ascii="宋体" w:eastAsia="宋体" w:hAnsi="宋体" w:cs="宋体"/>
          <w:color w:val="333333"/>
          <w:kern w:val="0"/>
          <w:sz w:val="20"/>
          <w:szCs w:val="20"/>
        </w:rPr>
        <w:t>本报告所指薪酬是广西人才网中用人单位发布职位或求职者期望的税前总体收入水平，包含个人所缴纳的五险一金等内容（即应发工资），其展现的是招聘过程中职位对应的收入水平，主要折算为月薪进行计算，供用人单位和求职者参考使用。</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注3：</w:t>
      </w:r>
      <w:r w:rsidRPr="00693C4A">
        <w:rPr>
          <w:rFonts w:ascii="宋体" w:eastAsia="宋体" w:hAnsi="宋体" w:cs="宋体"/>
          <w:color w:val="333333"/>
          <w:kern w:val="0"/>
          <w:sz w:val="20"/>
          <w:szCs w:val="20"/>
        </w:rPr>
        <w:t>本报告数据来源于广西人才网，经去除重复、不完整以及无效数据、违背国家法律法规的不合理数据，限定单个职位样本量个数（单个职位薪酬数据限定为至少25个样本，低于25个样本的职位薪酬数据不予统计，行业惯例为7个）等数据处理方式，确定2021年第二季度超过13万个符合要求的职位薪酬数据信息作为统计样本。在统计指标上，同时采用平均薪酬和分位薪酬统计方式。</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注4：职位平均薪酬</w:t>
      </w:r>
      <w:r w:rsidRPr="00693C4A">
        <w:rPr>
          <w:rFonts w:ascii="宋体" w:eastAsia="宋体" w:hAnsi="宋体" w:cs="宋体"/>
          <w:color w:val="333333"/>
          <w:kern w:val="0"/>
          <w:sz w:val="20"/>
          <w:szCs w:val="20"/>
        </w:rPr>
        <w:t>指的是所属职位类别中用人单位发布职位的薪酬样本加权平均值，不代表单个职位的实际薪酬，例如高级管理类职位平均薪酬为17142元/月，但其有很多副总以上级别的高薪职位薪酬更高。</w:t>
      </w:r>
      <w:r w:rsidRPr="00693C4A">
        <w:rPr>
          <w:rFonts w:ascii="宋体" w:eastAsia="宋体" w:hAnsi="宋体" w:cs="宋体"/>
          <w:b/>
          <w:bCs/>
          <w:color w:val="333333"/>
          <w:kern w:val="0"/>
          <w:sz w:val="20"/>
          <w:szCs w:val="20"/>
        </w:rPr>
        <w:t>期望薪酬</w:t>
      </w:r>
      <w:r w:rsidRPr="00693C4A">
        <w:rPr>
          <w:rFonts w:ascii="宋体" w:eastAsia="宋体" w:hAnsi="宋体" w:cs="宋体"/>
          <w:color w:val="333333"/>
          <w:kern w:val="0"/>
          <w:sz w:val="20"/>
          <w:szCs w:val="20"/>
        </w:rPr>
        <w:t>指的是求职者期望从事职位类别的薪酬样本加权平均值。</w:t>
      </w:r>
    </w:p>
    <w:p w:rsidR="00693C4A" w:rsidRPr="00693C4A" w:rsidRDefault="00693C4A" w:rsidP="00693C4A">
      <w:pPr>
        <w:widowControl/>
        <w:shd w:val="clear" w:color="auto" w:fill="FFFFFF"/>
        <w:spacing w:line="376" w:lineRule="atLeast"/>
        <w:ind w:firstLine="643"/>
        <w:jc w:val="left"/>
        <w:rPr>
          <w:rFonts w:ascii="宋体" w:eastAsia="宋体" w:hAnsi="宋体" w:cs="宋体"/>
          <w:color w:val="333333"/>
          <w:kern w:val="0"/>
          <w:sz w:val="24"/>
          <w:szCs w:val="24"/>
        </w:rPr>
      </w:pPr>
      <w:r w:rsidRPr="00693C4A">
        <w:rPr>
          <w:rFonts w:ascii="宋体" w:eastAsia="宋体" w:hAnsi="宋体" w:cs="宋体"/>
          <w:b/>
          <w:bCs/>
          <w:color w:val="333333"/>
          <w:kern w:val="0"/>
          <w:sz w:val="20"/>
          <w:szCs w:val="20"/>
        </w:rPr>
        <w:t>注5：分位薪酬</w:t>
      </w:r>
      <w:r w:rsidRPr="00693C4A">
        <w:rPr>
          <w:rFonts w:ascii="宋体" w:eastAsia="宋体" w:hAnsi="宋体" w:cs="宋体"/>
          <w:color w:val="333333"/>
          <w:kern w:val="0"/>
          <w:sz w:val="20"/>
          <w:szCs w:val="20"/>
        </w:rPr>
        <w:t>水平显示的是该职位中低于一定比例的薪酬水平，便于用人单位和求职者对照和定位自身职位薪酬的竞争水平等级，其中90分位代表高端、75分位代表中高端、50分位代表中端、25分位代表中低端、10分位代表低端。例如某职位75分位的薪酬水平为5000元/月，即表示该职位中有占比75%的职位薪酬低于5000元/月，而5000元/月也代表了该职位薪酬的市场中高端水平。</w:t>
      </w: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p>
    <w:p w:rsidR="00693C4A" w:rsidRPr="00693C4A" w:rsidRDefault="00693C4A" w:rsidP="00693C4A">
      <w:pPr>
        <w:widowControl/>
        <w:shd w:val="clear" w:color="auto" w:fill="FFFFFF"/>
        <w:spacing w:line="376" w:lineRule="atLeast"/>
        <w:ind w:firstLine="640"/>
        <w:jc w:val="left"/>
        <w:rPr>
          <w:rFonts w:ascii="宋体" w:eastAsia="宋体" w:hAnsi="宋体" w:cs="宋体"/>
          <w:color w:val="333333"/>
          <w:kern w:val="0"/>
          <w:sz w:val="24"/>
          <w:szCs w:val="24"/>
        </w:rPr>
      </w:pPr>
    </w:p>
    <w:p w:rsidR="00693C4A" w:rsidRPr="00693C4A" w:rsidRDefault="00693C4A" w:rsidP="00693C4A">
      <w:pPr>
        <w:widowControl/>
        <w:shd w:val="clear" w:color="auto" w:fill="FFFFFF"/>
        <w:spacing w:line="376" w:lineRule="atLeast"/>
        <w:ind w:firstLine="5980"/>
        <w:jc w:val="right"/>
        <w:rPr>
          <w:rFonts w:ascii="宋体" w:eastAsia="宋体" w:hAnsi="宋体" w:cs="宋体"/>
          <w:color w:val="333333"/>
          <w:kern w:val="0"/>
          <w:sz w:val="24"/>
          <w:szCs w:val="24"/>
        </w:rPr>
      </w:pPr>
      <w:r w:rsidRPr="00693C4A">
        <w:rPr>
          <w:rFonts w:ascii="宋体" w:eastAsia="宋体" w:hAnsi="宋体" w:cs="宋体"/>
          <w:color w:val="333333"/>
          <w:kern w:val="0"/>
          <w:sz w:val="20"/>
          <w:szCs w:val="20"/>
        </w:rPr>
        <w:t>中国广西人才市场</w:t>
      </w:r>
    </w:p>
    <w:p w:rsidR="00693C4A" w:rsidRPr="00693C4A" w:rsidRDefault="00693C4A" w:rsidP="00693C4A">
      <w:pPr>
        <w:widowControl/>
        <w:shd w:val="clear" w:color="auto" w:fill="FFFFFF"/>
        <w:spacing w:line="376" w:lineRule="atLeast"/>
        <w:ind w:firstLine="5980"/>
        <w:jc w:val="right"/>
        <w:rPr>
          <w:rFonts w:ascii="宋体" w:eastAsia="宋体" w:hAnsi="宋体" w:cs="宋体"/>
          <w:color w:val="333333"/>
          <w:kern w:val="0"/>
          <w:sz w:val="24"/>
          <w:szCs w:val="24"/>
        </w:rPr>
      </w:pPr>
      <w:r w:rsidRPr="00693C4A">
        <w:rPr>
          <w:rFonts w:ascii="宋体" w:eastAsia="宋体" w:hAnsi="宋体" w:cs="宋体"/>
          <w:color w:val="333333"/>
          <w:kern w:val="0"/>
          <w:sz w:val="20"/>
          <w:szCs w:val="20"/>
        </w:rPr>
        <w:t>2021年7月26日</w:t>
      </w:r>
    </w:p>
    <w:p w:rsidR="002F1FD1" w:rsidRPr="00693C4A" w:rsidRDefault="002F1FD1" w:rsidP="00693C4A"/>
    <w:sectPr w:rsidR="002F1FD1" w:rsidRPr="00693C4A" w:rsidSect="00693C4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
  <w:rsids>
    <w:rsidRoot w:val="0073139F"/>
    <w:rsid w:val="002F1FD1"/>
    <w:rsid w:val="00693C4A"/>
    <w:rsid w:val="00731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D1"/>
    <w:pPr>
      <w:widowControl w:val="0"/>
      <w:jc w:val="both"/>
    </w:pPr>
  </w:style>
  <w:style w:type="paragraph" w:styleId="1">
    <w:name w:val="heading 1"/>
    <w:basedOn w:val="a"/>
    <w:link w:val="1Char"/>
    <w:uiPriority w:val="9"/>
    <w:qFormat/>
    <w:rsid w:val="00693C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3C4A"/>
    <w:rPr>
      <w:rFonts w:ascii="宋体" w:eastAsia="宋体" w:hAnsi="宋体" w:cs="宋体"/>
      <w:b/>
      <w:bCs/>
      <w:kern w:val="36"/>
      <w:sz w:val="48"/>
      <w:szCs w:val="48"/>
    </w:rPr>
  </w:style>
  <w:style w:type="character" w:customStyle="1" w:styleId="item">
    <w:name w:val="item"/>
    <w:basedOn w:val="a0"/>
    <w:rsid w:val="00693C4A"/>
  </w:style>
  <w:style w:type="character" w:customStyle="1" w:styleId="deep">
    <w:name w:val="deep"/>
    <w:basedOn w:val="a0"/>
    <w:rsid w:val="00693C4A"/>
  </w:style>
  <w:style w:type="character" w:styleId="a3">
    <w:name w:val="Strong"/>
    <w:basedOn w:val="a0"/>
    <w:uiPriority w:val="22"/>
    <w:qFormat/>
    <w:rsid w:val="00693C4A"/>
    <w:rPr>
      <w:b/>
      <w:bCs/>
    </w:rPr>
  </w:style>
  <w:style w:type="paragraph" w:styleId="a4">
    <w:name w:val="Balloon Text"/>
    <w:basedOn w:val="a"/>
    <w:link w:val="Char"/>
    <w:uiPriority w:val="99"/>
    <w:semiHidden/>
    <w:unhideWhenUsed/>
    <w:rsid w:val="00693C4A"/>
    <w:rPr>
      <w:sz w:val="18"/>
      <w:szCs w:val="18"/>
    </w:rPr>
  </w:style>
  <w:style w:type="character" w:customStyle="1" w:styleId="Char">
    <w:name w:val="批注框文本 Char"/>
    <w:basedOn w:val="a0"/>
    <w:link w:val="a4"/>
    <w:uiPriority w:val="99"/>
    <w:semiHidden/>
    <w:rsid w:val="00693C4A"/>
    <w:rPr>
      <w:sz w:val="18"/>
      <w:szCs w:val="18"/>
    </w:rPr>
  </w:style>
</w:styles>
</file>

<file path=word/webSettings.xml><?xml version="1.0" encoding="utf-8"?>
<w:webSettings xmlns:r="http://schemas.openxmlformats.org/officeDocument/2006/relationships" xmlns:w="http://schemas.openxmlformats.org/wordprocessingml/2006/main">
  <w:divs>
    <w:div w:id="1835992259">
      <w:bodyDiv w:val="1"/>
      <w:marLeft w:val="0"/>
      <w:marRight w:val="0"/>
      <w:marTop w:val="0"/>
      <w:marBottom w:val="0"/>
      <w:divBdr>
        <w:top w:val="none" w:sz="0" w:space="0" w:color="auto"/>
        <w:left w:val="none" w:sz="0" w:space="0" w:color="auto"/>
        <w:bottom w:val="none" w:sz="0" w:space="0" w:color="auto"/>
        <w:right w:val="none" w:sz="0" w:space="0" w:color="auto"/>
      </w:divBdr>
      <w:divsChild>
        <w:div w:id="289014744">
          <w:marLeft w:val="0"/>
          <w:marRight w:val="0"/>
          <w:marTop w:val="0"/>
          <w:marBottom w:val="0"/>
          <w:divBdr>
            <w:top w:val="none" w:sz="0" w:space="0" w:color="auto"/>
            <w:left w:val="none" w:sz="0" w:space="0" w:color="auto"/>
            <w:bottom w:val="single" w:sz="4" w:space="13" w:color="E9E9E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30</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2021-07-29T00:17:00Z</dcterms:created>
  <dcterms:modified xsi:type="dcterms:W3CDTF">2021-07-29T07:08:00Z</dcterms:modified>
</cp:coreProperties>
</file>