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68" w:rsidRPr="00B82D68" w:rsidRDefault="00B82D68" w:rsidP="00B82D68">
      <w:pPr>
        <w:pStyle w:val="a3"/>
        <w:spacing w:before="0" w:beforeAutospacing="0" w:after="0" w:afterAutospacing="0" w:line="560" w:lineRule="exact"/>
        <w:jc w:val="center"/>
        <w:rPr>
          <w:rFonts w:ascii="方正小标宋简体" w:eastAsia="方正小标宋简体" w:cs="Arial" w:hint="eastAsia"/>
          <w:color w:val="000000"/>
          <w:sz w:val="44"/>
          <w:szCs w:val="44"/>
        </w:rPr>
      </w:pPr>
      <w:r w:rsidRPr="00B82D68">
        <w:rPr>
          <w:rFonts w:ascii="方正小标宋简体" w:eastAsia="方正小标宋简体" w:cs="Arial" w:hint="eastAsia"/>
          <w:color w:val="000000"/>
          <w:sz w:val="44"/>
          <w:szCs w:val="44"/>
        </w:rPr>
        <w:t>广西壮族自治区人力资源和社会保障厅关于</w:t>
      </w:r>
    </w:p>
    <w:p w:rsidR="00B82D68" w:rsidRPr="00B82D68" w:rsidRDefault="00B82D68" w:rsidP="00B82D68">
      <w:pPr>
        <w:pStyle w:val="a3"/>
        <w:spacing w:before="0" w:beforeAutospacing="0" w:after="0" w:afterAutospacing="0" w:line="560" w:lineRule="exact"/>
        <w:jc w:val="center"/>
        <w:rPr>
          <w:rFonts w:ascii="方正小标宋简体" w:eastAsia="方正小标宋简体" w:cs="Arial" w:hint="eastAsia"/>
          <w:color w:val="000000"/>
          <w:sz w:val="44"/>
          <w:szCs w:val="44"/>
        </w:rPr>
      </w:pPr>
      <w:r w:rsidRPr="00B82D68">
        <w:rPr>
          <w:rFonts w:ascii="方正小标宋简体" w:eastAsia="方正小标宋简体" w:cs="Arial" w:hint="eastAsia"/>
          <w:color w:val="000000"/>
          <w:sz w:val="44"/>
          <w:szCs w:val="44"/>
        </w:rPr>
        <w:t>公布高级经济专业等6项专业技术人员</w:t>
      </w:r>
    </w:p>
    <w:p w:rsidR="00B82D68" w:rsidRPr="00B82D68" w:rsidRDefault="00B82D68" w:rsidP="00B82D68">
      <w:pPr>
        <w:pStyle w:val="a3"/>
        <w:spacing w:before="0" w:beforeAutospacing="0" w:after="0" w:afterAutospacing="0" w:line="560" w:lineRule="exact"/>
        <w:jc w:val="center"/>
        <w:rPr>
          <w:rFonts w:ascii="方正小标宋简体" w:eastAsia="方正小标宋简体" w:cs="Arial" w:hint="eastAsia"/>
          <w:color w:val="000000"/>
          <w:sz w:val="44"/>
          <w:szCs w:val="44"/>
        </w:rPr>
      </w:pPr>
      <w:r w:rsidRPr="00B82D68">
        <w:rPr>
          <w:rFonts w:ascii="方正小标宋简体" w:eastAsia="方正小标宋简体" w:cs="Arial" w:hint="eastAsia"/>
          <w:color w:val="000000"/>
          <w:sz w:val="44"/>
          <w:szCs w:val="44"/>
        </w:rPr>
        <w:t>资格考试收费标准的通知</w:t>
      </w:r>
    </w:p>
    <w:p w:rsidR="00B82D68" w:rsidRPr="00B82D68" w:rsidRDefault="00B82D68" w:rsidP="00B82D68">
      <w:pPr>
        <w:pStyle w:val="a3"/>
        <w:spacing w:before="0" w:beforeAutospacing="0" w:after="0" w:afterAutospacing="0" w:line="600" w:lineRule="exact"/>
        <w:jc w:val="center"/>
        <w:rPr>
          <w:rFonts w:ascii="仿宋_GB2312" w:eastAsia="仿宋_GB2312" w:cs="Arial" w:hint="eastAsia"/>
          <w:color w:val="000000"/>
          <w:sz w:val="32"/>
          <w:szCs w:val="32"/>
        </w:rPr>
      </w:pPr>
      <w:r w:rsidRPr="00B82D68">
        <w:rPr>
          <w:rFonts w:ascii="仿宋_GB2312" w:eastAsia="仿宋_GB2312" w:cs="Arial" w:hint="eastAsia"/>
          <w:color w:val="000000"/>
          <w:sz w:val="32"/>
          <w:szCs w:val="32"/>
        </w:rPr>
        <w:t>（桂人社规〔2022〕9号）</w:t>
      </w:r>
    </w:p>
    <w:p w:rsidR="00B82D68" w:rsidRPr="00B82D68" w:rsidRDefault="00B82D68" w:rsidP="00B82D68">
      <w:pPr>
        <w:pStyle w:val="a3"/>
        <w:spacing w:before="0" w:beforeAutospacing="0" w:after="0" w:afterAutospacing="0" w:line="600" w:lineRule="exact"/>
        <w:jc w:val="both"/>
        <w:rPr>
          <w:rFonts w:ascii="仿宋_GB2312" w:eastAsia="仿宋_GB2312" w:cs="Arial" w:hint="eastAsia"/>
          <w:color w:val="000000"/>
          <w:sz w:val="32"/>
          <w:szCs w:val="32"/>
        </w:rPr>
      </w:pPr>
    </w:p>
    <w:p w:rsidR="00B82D68" w:rsidRPr="00B82D68" w:rsidRDefault="00B82D68" w:rsidP="00B82D68">
      <w:pPr>
        <w:pStyle w:val="a3"/>
        <w:spacing w:before="0" w:beforeAutospacing="0" w:after="0" w:afterAutospacing="0" w:line="600" w:lineRule="exact"/>
        <w:jc w:val="both"/>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各有关单位：</w:t>
      </w: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根据《国家发展改革委 财政部关于改革全国性职业资格考试收费标准管理方式的通知》（发改价格〔2015〕1217号）、《广西壮族自治区物价局 财政厅关于改革职业资格考试收费标准管理方式的通知》（桂价费〔2016〕79号）、《广西壮族自治区发展和改革委员会 广西壮族自治区财政厅关于我区职业资格考试收费标准有关问题的通知》（桂发改收费函〔2021〕2719号）、《财政部 国家发展改革委关于调整部分考试考务费项目的通知》（财税〔2020〕37号）、《关于印发高级经济专业技术资格考试等四项考试考务费收费标准的通知》（人考中心函〔2020〕36号）、《关于调整全国翻译专业资格（水平）考试考务费收费标准的通知》（外文考办字〔2016〕6号）等文件精神，我厅核定了高级经济专业等6项专业技术人员资格考试的收费标准（见附件），现予以公布，请贯彻执行。有关事项明确如下：</w:t>
      </w: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一、本通知与《广西壮族自治区人力资源和社会保障厅关于公布执业药师资格考试等17项专业技术人员资格考试收费标准的通知》（桂人社发〔2016〕24号）、《广西壮族自治区人力资源和社会保障厅关于公布房地产估价师等16项专业技术人员资格考试</w:t>
      </w:r>
      <w:r w:rsidRPr="00B82D68">
        <w:rPr>
          <w:rFonts w:ascii="仿宋_GB2312" w:eastAsia="仿宋_GB2312" w:cs="Arial" w:hint="eastAsia"/>
          <w:color w:val="000000"/>
          <w:sz w:val="32"/>
          <w:szCs w:val="32"/>
        </w:rPr>
        <w:lastRenderedPageBreak/>
        <w:t>收费标准的通知》（桂人社规〔2019〕6号）文件中规定不一致的，按照本通知执行。</w:t>
      </w: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二、收费单位应严格执行上述规定，不得擅自增加收费项目、扩大收费范围，并自觉接受财政、价格、市场监督管理、审计等部门的监督检查。</w:t>
      </w: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三、本通知自公布之日起实施。今后国家相关部委、自治区相关厅局收费政策有变化的，将适时调整。</w:t>
      </w: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附件：高级经济专业等6项专业技术人员资格考试收费标准表</w:t>
      </w:r>
    </w:p>
    <w:p w:rsid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B82D68" w:rsidRPr="00B82D68" w:rsidRDefault="00B82D68" w:rsidP="00B82D68">
      <w:pPr>
        <w:pStyle w:val="a3"/>
        <w:spacing w:before="0" w:beforeAutospacing="0" w:after="0" w:afterAutospacing="0" w:line="600" w:lineRule="exact"/>
        <w:ind w:firstLine="480"/>
        <w:jc w:val="both"/>
        <w:rPr>
          <w:rFonts w:ascii="仿宋_GB2312" w:eastAsia="仿宋_GB2312" w:hAnsi="Arial" w:cs="Arial" w:hint="eastAsia"/>
          <w:color w:val="000000"/>
          <w:sz w:val="32"/>
          <w:szCs w:val="32"/>
        </w:rPr>
      </w:pPr>
    </w:p>
    <w:p w:rsidR="00B82D68" w:rsidRPr="00B82D68" w:rsidRDefault="00B82D68" w:rsidP="00B82D68">
      <w:pPr>
        <w:pStyle w:val="a3"/>
        <w:spacing w:before="0" w:beforeAutospacing="0" w:after="0" w:afterAutospacing="0" w:line="600" w:lineRule="exact"/>
        <w:ind w:firstLine="480"/>
        <w:jc w:val="right"/>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广西壮族自治区人力资源和社会保障厅</w:t>
      </w:r>
    </w:p>
    <w:p w:rsidR="00B82D68" w:rsidRPr="00B82D68" w:rsidRDefault="00B82D68" w:rsidP="00B82D68">
      <w:pPr>
        <w:pStyle w:val="a3"/>
        <w:spacing w:before="0" w:beforeAutospacing="0" w:after="0" w:afterAutospacing="0" w:line="600" w:lineRule="exact"/>
        <w:ind w:firstLine="480"/>
        <w:jc w:val="right"/>
        <w:rPr>
          <w:rFonts w:ascii="仿宋_GB2312" w:eastAsia="仿宋_GB2312" w:hAnsi="Arial" w:cs="Arial" w:hint="eastAsia"/>
          <w:color w:val="000000"/>
          <w:sz w:val="32"/>
          <w:szCs w:val="32"/>
        </w:rPr>
      </w:pPr>
      <w:r w:rsidRPr="00B82D68">
        <w:rPr>
          <w:rFonts w:ascii="仿宋_GB2312" w:eastAsia="仿宋_GB2312" w:cs="Arial" w:hint="eastAsia"/>
          <w:color w:val="000000"/>
          <w:sz w:val="32"/>
          <w:szCs w:val="32"/>
        </w:rPr>
        <w:t>2022年8月30日</w:t>
      </w:r>
    </w:p>
    <w:p w:rsidR="00B82D68" w:rsidRPr="00B82D68" w:rsidRDefault="00B82D68" w:rsidP="00B82D68">
      <w:pPr>
        <w:pStyle w:val="a3"/>
        <w:spacing w:before="0" w:beforeAutospacing="0" w:after="0" w:afterAutospacing="0" w:line="600" w:lineRule="exact"/>
        <w:jc w:val="right"/>
        <w:rPr>
          <w:rFonts w:ascii="仿宋_GB2312" w:eastAsia="仿宋_GB2312" w:hAnsi="Arial" w:cs="Arial" w:hint="eastAsia"/>
          <w:color w:val="000000"/>
          <w:sz w:val="32"/>
          <w:szCs w:val="32"/>
        </w:rPr>
      </w:pPr>
    </w:p>
    <w:p w:rsidR="00B82D68" w:rsidRPr="00B82D68" w:rsidRDefault="00B82D68" w:rsidP="00B82D68">
      <w:pPr>
        <w:pStyle w:val="a3"/>
        <w:spacing w:before="0" w:beforeAutospacing="0" w:after="0" w:afterAutospacing="0" w:line="600" w:lineRule="exact"/>
        <w:jc w:val="both"/>
        <w:rPr>
          <w:rFonts w:ascii="仿宋_GB2312" w:eastAsia="仿宋_GB2312" w:cs="Arial" w:hint="eastAsia"/>
          <w:color w:val="000000"/>
          <w:w w:val="90"/>
          <w:sz w:val="32"/>
          <w:szCs w:val="32"/>
        </w:rPr>
      </w:pPr>
      <w:r w:rsidRPr="00B82D68">
        <w:rPr>
          <w:rFonts w:ascii="仿宋_GB2312" w:eastAsia="仿宋_GB2312" w:cs="Arial" w:hint="eastAsia"/>
          <w:color w:val="000000"/>
          <w:w w:val="90"/>
          <w:sz w:val="32"/>
          <w:szCs w:val="32"/>
        </w:rPr>
        <w:t>广西壮族自治区人力资源和社会保障厅办公室</w:t>
      </w:r>
      <w:r w:rsidRPr="00B82D68">
        <w:rPr>
          <w:rFonts w:ascii="仿宋_GB2312" w:eastAsia="仿宋_GB2312" w:cs="Arial" w:hint="eastAsia"/>
          <w:color w:val="000000"/>
          <w:w w:val="90"/>
          <w:sz w:val="32"/>
          <w:szCs w:val="32"/>
        </w:rPr>
        <w:t> </w:t>
      </w:r>
      <w:r w:rsidRPr="00B82D68">
        <w:rPr>
          <w:rFonts w:ascii="仿宋_GB2312" w:eastAsia="仿宋_GB2312" w:cs="Arial" w:hint="eastAsia"/>
          <w:color w:val="000000"/>
          <w:w w:val="90"/>
          <w:sz w:val="32"/>
          <w:szCs w:val="32"/>
        </w:rPr>
        <w:t> </w:t>
      </w:r>
      <w:r w:rsidRPr="00B82D68">
        <w:rPr>
          <w:rFonts w:ascii="仿宋_GB2312" w:eastAsia="仿宋_GB2312" w:cs="Arial" w:hint="eastAsia"/>
          <w:color w:val="000000"/>
          <w:w w:val="90"/>
          <w:sz w:val="32"/>
          <w:szCs w:val="32"/>
        </w:rPr>
        <w:t>2022年8月31日印发</w:t>
      </w:r>
    </w:p>
    <w:p w:rsidR="00B82D68" w:rsidRDefault="00B82D68">
      <w:pPr>
        <w:widowControl/>
        <w:jc w:val="left"/>
        <w:rPr>
          <w:rFonts w:ascii="仿宋_GB2312" w:eastAsia="仿宋_GB2312" w:hAnsi="宋体" w:cs="Arial"/>
          <w:color w:val="000000"/>
          <w:kern w:val="0"/>
          <w:sz w:val="32"/>
          <w:szCs w:val="32"/>
        </w:rPr>
      </w:pPr>
      <w:r>
        <w:rPr>
          <w:rFonts w:ascii="仿宋_GB2312" w:eastAsia="仿宋_GB2312" w:cs="Arial"/>
          <w:color w:val="000000"/>
          <w:sz w:val="32"/>
          <w:szCs w:val="32"/>
        </w:rPr>
        <w:br w:type="page"/>
      </w:r>
    </w:p>
    <w:p w:rsidR="00B82D68" w:rsidRPr="00B82D68" w:rsidRDefault="00B82D68" w:rsidP="00B82D68">
      <w:pPr>
        <w:rPr>
          <w:rFonts w:eastAsia="黑体" w:hAnsi="Times New Roman"/>
          <w:sz w:val="32"/>
          <w:szCs w:val="32"/>
        </w:rPr>
      </w:pPr>
      <w:r w:rsidRPr="00B82D68">
        <w:rPr>
          <w:rFonts w:eastAsia="黑体" w:hAnsi="黑体"/>
          <w:sz w:val="32"/>
          <w:szCs w:val="32"/>
        </w:rPr>
        <w:lastRenderedPageBreak/>
        <w:t>附件</w:t>
      </w:r>
    </w:p>
    <w:p w:rsidR="00B82D68" w:rsidRDefault="00B82D68" w:rsidP="00B82D68">
      <w:pPr>
        <w:spacing w:line="600" w:lineRule="exact"/>
        <w:jc w:val="center"/>
        <w:rPr>
          <w:rFonts w:ascii="Times New Roman" w:eastAsia="方正小标宋简体"/>
          <w:color w:val="000000"/>
          <w:sz w:val="44"/>
        </w:rPr>
      </w:pPr>
      <w:r>
        <w:rPr>
          <w:rFonts w:ascii="Times New Roman" w:eastAsia="方正小标宋简体" w:hint="eastAsia"/>
          <w:color w:val="000000"/>
          <w:sz w:val="44"/>
        </w:rPr>
        <w:t>高级经济专业等</w:t>
      </w:r>
      <w:r>
        <w:rPr>
          <w:rFonts w:ascii="Times New Roman" w:eastAsia="方正小标宋简体" w:hint="eastAsia"/>
          <w:color w:val="000000"/>
          <w:sz w:val="44"/>
        </w:rPr>
        <w:t>6</w:t>
      </w:r>
      <w:r>
        <w:rPr>
          <w:rFonts w:ascii="Times New Roman" w:eastAsia="方正小标宋简体" w:hint="eastAsia"/>
          <w:color w:val="000000"/>
          <w:sz w:val="44"/>
        </w:rPr>
        <w:t>项专业技术人员资格考试</w:t>
      </w:r>
    </w:p>
    <w:p w:rsidR="00B82D68" w:rsidRDefault="00B82D68" w:rsidP="00B82D68">
      <w:pPr>
        <w:spacing w:line="600" w:lineRule="exact"/>
        <w:jc w:val="center"/>
        <w:rPr>
          <w:rFonts w:ascii="Times New Roman"/>
          <w:color w:val="000000"/>
          <w:szCs w:val="32"/>
        </w:rPr>
      </w:pPr>
      <w:r>
        <w:rPr>
          <w:rFonts w:ascii="Times New Roman" w:eastAsia="方正小标宋简体" w:hint="eastAsia"/>
          <w:color w:val="000000"/>
          <w:sz w:val="44"/>
        </w:rPr>
        <w:t>收费标准表</w:t>
      </w:r>
    </w:p>
    <w:p w:rsidR="00B82D68" w:rsidRDefault="00B82D68" w:rsidP="00B82D68">
      <w:pPr>
        <w:spacing w:line="600" w:lineRule="exact"/>
        <w:rPr>
          <w:rFonts w:ascii="Times New Roman"/>
          <w:color w:val="000000"/>
          <w:szCs w:val="32"/>
        </w:rPr>
      </w:pPr>
      <w:r>
        <w:rPr>
          <w:rFonts w:ascii="Times New Roman" w:hint="eastAsia"/>
          <w:color w:val="000000"/>
          <w:szCs w:val="32"/>
        </w:rPr>
        <w:t xml:space="preserve">                                     </w:t>
      </w:r>
      <w:r>
        <w:rPr>
          <w:rFonts w:ascii="Times New Roman" w:hint="eastAsia"/>
          <w:color w:val="000000"/>
          <w:szCs w:val="32"/>
        </w:rPr>
        <w:t>计费单位：元</w:t>
      </w:r>
      <w:r>
        <w:rPr>
          <w:rFonts w:ascii="Times New Roman" w:hint="eastAsia"/>
          <w:color w:val="000000"/>
          <w:szCs w:val="32"/>
        </w:rPr>
        <w:t>/</w:t>
      </w:r>
      <w:r>
        <w:rPr>
          <w:rFonts w:ascii="Times New Roman" w:hint="eastAsia"/>
          <w:color w:val="000000"/>
          <w:szCs w:val="32"/>
        </w:rPr>
        <w:t>人·科</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126"/>
        <w:gridCol w:w="2126"/>
        <w:gridCol w:w="1134"/>
        <w:gridCol w:w="2695"/>
        <w:gridCol w:w="963"/>
      </w:tblGrid>
      <w:tr w:rsidR="00B82D68" w:rsidTr="004C1747">
        <w:trPr>
          <w:trHeight w:val="285"/>
        </w:trPr>
        <w:tc>
          <w:tcPr>
            <w:tcW w:w="710" w:type="dxa"/>
            <w:shd w:val="clear" w:color="000000" w:fill="FFFFFF"/>
            <w:vAlign w:val="center"/>
          </w:tcPr>
          <w:p w:rsidR="00B82D68" w:rsidRDefault="00B82D68" w:rsidP="00B82D68">
            <w:pPr>
              <w:widowControl/>
              <w:spacing w:line="360" w:lineRule="exact"/>
              <w:jc w:val="center"/>
              <w:rPr>
                <w:rFonts w:eastAsia="黑体"/>
                <w:color w:val="000000"/>
                <w:kern w:val="0"/>
                <w:sz w:val="24"/>
                <w:szCs w:val="24"/>
              </w:rPr>
            </w:pPr>
            <w:r>
              <w:rPr>
                <w:rFonts w:eastAsia="黑体" w:hAnsi="Times New Roman"/>
                <w:color w:val="000000"/>
                <w:kern w:val="0"/>
                <w:sz w:val="24"/>
                <w:szCs w:val="24"/>
              </w:rPr>
              <w:t>序号</w:t>
            </w:r>
          </w:p>
        </w:tc>
        <w:tc>
          <w:tcPr>
            <w:tcW w:w="2126" w:type="dxa"/>
            <w:shd w:val="clear" w:color="000000" w:fill="FFFFFF"/>
            <w:vAlign w:val="center"/>
          </w:tcPr>
          <w:p w:rsidR="00B82D68" w:rsidRDefault="00B82D68" w:rsidP="00B82D68">
            <w:pPr>
              <w:widowControl/>
              <w:spacing w:line="360" w:lineRule="exact"/>
              <w:jc w:val="center"/>
              <w:rPr>
                <w:rFonts w:eastAsia="黑体"/>
                <w:color w:val="000000"/>
                <w:kern w:val="0"/>
                <w:sz w:val="24"/>
                <w:szCs w:val="24"/>
              </w:rPr>
            </w:pPr>
            <w:r>
              <w:rPr>
                <w:rFonts w:eastAsia="黑体" w:hAnsi="Times New Roman"/>
                <w:color w:val="000000"/>
                <w:kern w:val="0"/>
                <w:sz w:val="24"/>
                <w:szCs w:val="24"/>
              </w:rPr>
              <w:t>项目</w:t>
            </w:r>
          </w:p>
        </w:tc>
        <w:tc>
          <w:tcPr>
            <w:tcW w:w="2126" w:type="dxa"/>
            <w:shd w:val="clear" w:color="000000" w:fill="FFFFFF"/>
            <w:vAlign w:val="center"/>
          </w:tcPr>
          <w:p w:rsidR="00B82D68" w:rsidRDefault="00B82D68" w:rsidP="00B82D68">
            <w:pPr>
              <w:widowControl/>
              <w:spacing w:line="360" w:lineRule="exact"/>
              <w:jc w:val="center"/>
              <w:rPr>
                <w:rFonts w:eastAsia="黑体"/>
                <w:color w:val="000000"/>
                <w:kern w:val="0"/>
                <w:sz w:val="24"/>
                <w:szCs w:val="24"/>
              </w:rPr>
            </w:pPr>
            <w:r>
              <w:rPr>
                <w:rFonts w:eastAsia="黑体" w:hAnsi="Times New Roman"/>
                <w:color w:val="000000"/>
                <w:kern w:val="0"/>
                <w:sz w:val="24"/>
                <w:szCs w:val="24"/>
              </w:rPr>
              <w:t>考试名称</w:t>
            </w:r>
          </w:p>
        </w:tc>
        <w:tc>
          <w:tcPr>
            <w:tcW w:w="1134" w:type="dxa"/>
            <w:shd w:val="clear" w:color="000000" w:fill="FFFFFF"/>
            <w:vAlign w:val="center"/>
          </w:tcPr>
          <w:p w:rsidR="00B82D68" w:rsidRDefault="00B82D68" w:rsidP="00B82D68">
            <w:pPr>
              <w:widowControl/>
              <w:spacing w:line="360" w:lineRule="exact"/>
              <w:jc w:val="center"/>
              <w:rPr>
                <w:rFonts w:eastAsia="黑体"/>
                <w:color w:val="000000"/>
                <w:kern w:val="0"/>
                <w:sz w:val="24"/>
                <w:szCs w:val="24"/>
              </w:rPr>
            </w:pPr>
            <w:r>
              <w:rPr>
                <w:rFonts w:eastAsia="黑体" w:hAnsi="Times New Roman"/>
                <w:color w:val="000000"/>
                <w:kern w:val="0"/>
                <w:sz w:val="24"/>
                <w:szCs w:val="24"/>
              </w:rPr>
              <w:t>考试科目类型</w:t>
            </w:r>
          </w:p>
        </w:tc>
        <w:tc>
          <w:tcPr>
            <w:tcW w:w="2695" w:type="dxa"/>
            <w:shd w:val="clear" w:color="000000" w:fill="FFFFFF"/>
            <w:vAlign w:val="center"/>
          </w:tcPr>
          <w:p w:rsidR="00B82D68" w:rsidRDefault="00B82D68" w:rsidP="00B82D68">
            <w:pPr>
              <w:widowControl/>
              <w:spacing w:line="360" w:lineRule="exact"/>
              <w:jc w:val="center"/>
              <w:rPr>
                <w:rFonts w:eastAsia="黑体"/>
                <w:color w:val="000000"/>
                <w:kern w:val="0"/>
                <w:sz w:val="24"/>
                <w:szCs w:val="24"/>
              </w:rPr>
            </w:pPr>
            <w:r>
              <w:rPr>
                <w:rFonts w:eastAsia="黑体" w:hAnsi="Times New Roman"/>
                <w:color w:val="000000"/>
                <w:kern w:val="0"/>
                <w:sz w:val="24"/>
                <w:szCs w:val="24"/>
              </w:rPr>
              <w:t>考试科目名称</w:t>
            </w:r>
          </w:p>
        </w:tc>
        <w:tc>
          <w:tcPr>
            <w:tcW w:w="963" w:type="dxa"/>
            <w:shd w:val="clear" w:color="000000" w:fill="FFFFFF"/>
            <w:vAlign w:val="center"/>
          </w:tcPr>
          <w:p w:rsidR="00B82D68" w:rsidRDefault="00B82D68" w:rsidP="00B82D68">
            <w:pPr>
              <w:widowControl/>
              <w:spacing w:line="360" w:lineRule="exact"/>
              <w:jc w:val="center"/>
              <w:rPr>
                <w:rFonts w:eastAsia="黑体" w:hAnsi="Times New Roman"/>
                <w:color w:val="000000"/>
                <w:kern w:val="0"/>
                <w:sz w:val="24"/>
                <w:szCs w:val="24"/>
              </w:rPr>
            </w:pPr>
            <w:r>
              <w:rPr>
                <w:rFonts w:eastAsia="黑体" w:hAnsi="Times New Roman"/>
                <w:color w:val="000000"/>
                <w:kern w:val="0"/>
                <w:sz w:val="24"/>
                <w:szCs w:val="24"/>
              </w:rPr>
              <w:t>收费</w:t>
            </w:r>
          </w:p>
          <w:p w:rsidR="00B82D68" w:rsidRDefault="00B82D68" w:rsidP="00B82D68">
            <w:pPr>
              <w:widowControl/>
              <w:spacing w:line="360" w:lineRule="exact"/>
              <w:jc w:val="center"/>
              <w:rPr>
                <w:rFonts w:eastAsia="黑体"/>
                <w:color w:val="000000"/>
                <w:kern w:val="0"/>
                <w:sz w:val="24"/>
                <w:szCs w:val="24"/>
              </w:rPr>
            </w:pPr>
            <w:r>
              <w:rPr>
                <w:rFonts w:eastAsia="黑体" w:hAnsi="Times New Roman"/>
                <w:color w:val="000000"/>
                <w:kern w:val="0"/>
                <w:sz w:val="24"/>
                <w:szCs w:val="24"/>
              </w:rPr>
              <w:t>标准</w:t>
            </w:r>
          </w:p>
        </w:tc>
      </w:tr>
      <w:tr w:rsidR="00B82D68" w:rsidTr="004C1747">
        <w:trPr>
          <w:trHeight w:hRule="exact" w:val="879"/>
        </w:trPr>
        <w:tc>
          <w:tcPr>
            <w:tcW w:w="710" w:type="dxa"/>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1</w:t>
            </w:r>
          </w:p>
        </w:tc>
        <w:tc>
          <w:tcPr>
            <w:tcW w:w="2126" w:type="dxa"/>
            <w:shd w:val="clear" w:color="auto" w:fill="auto"/>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高级经济专业技术资格考试费</w:t>
            </w:r>
          </w:p>
        </w:tc>
        <w:tc>
          <w:tcPr>
            <w:tcW w:w="2126" w:type="dxa"/>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高级经济专业技术资格考试</w:t>
            </w: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主观题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高级经济实务</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69</w:t>
            </w:r>
          </w:p>
        </w:tc>
      </w:tr>
      <w:tr w:rsidR="00B82D68" w:rsidTr="004C1747">
        <w:trPr>
          <w:trHeight w:hRule="exact" w:val="567"/>
        </w:trPr>
        <w:tc>
          <w:tcPr>
            <w:tcW w:w="710"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2</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监理工程师职业资格考试费</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监理工程师职业资格考试</w:t>
            </w: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建设工程合同管理</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567"/>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建设工程目标控制</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851"/>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建设工程监理基本理论和相关法规</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851"/>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主观题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建设工程监理案例分析</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69</w:t>
            </w:r>
          </w:p>
        </w:tc>
      </w:tr>
      <w:tr w:rsidR="00B82D68" w:rsidTr="004C1747">
        <w:trPr>
          <w:trHeight w:hRule="exact" w:val="567"/>
        </w:trPr>
        <w:tc>
          <w:tcPr>
            <w:tcW w:w="710"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3</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执业药师职业资格考试费</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执业药师职业资格考试</w:t>
            </w: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药学专业知识（一）</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567"/>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药学专业知识（二）</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820"/>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综合知识与技能（药学）</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591"/>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spacing w:line="560" w:lineRule="exact"/>
              <w:jc w:val="left"/>
              <w:rPr>
                <w:color w:val="000000"/>
                <w:szCs w:val="32"/>
              </w:rPr>
            </w:pPr>
            <w:r>
              <w:rPr>
                <w:rFonts w:eastAsia="宋体" w:hAnsi="Times New Roman"/>
                <w:color w:val="000000"/>
                <w:kern w:val="0"/>
                <w:sz w:val="24"/>
                <w:szCs w:val="24"/>
              </w:rPr>
              <w:t>中药学专业知识</w:t>
            </w:r>
            <w:r>
              <w:rPr>
                <w:rFonts w:eastAsia="宋体" w:hAnsi="Times New Roman" w:hint="eastAsia"/>
                <w:color w:val="000000"/>
                <w:kern w:val="0"/>
                <w:sz w:val="24"/>
                <w:szCs w:val="24"/>
              </w:rPr>
              <w:t>（一）</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573"/>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中药学专业知识（二）</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802"/>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综合知识与技能（中药学）</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605"/>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药事管理与法规</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61</w:t>
            </w:r>
          </w:p>
        </w:tc>
      </w:tr>
      <w:tr w:rsidR="00B82D68" w:rsidTr="004C1747">
        <w:trPr>
          <w:trHeight w:hRule="exact" w:val="567"/>
        </w:trPr>
        <w:tc>
          <w:tcPr>
            <w:tcW w:w="710"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4</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注册城乡规划师职业资格考试费</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注册城乡规划师职业资格考试</w:t>
            </w: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城乡规划原理</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63</w:t>
            </w:r>
          </w:p>
        </w:tc>
      </w:tr>
      <w:tr w:rsidR="00B82D68" w:rsidTr="004C1747">
        <w:trPr>
          <w:trHeight w:hRule="exact" w:val="567"/>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城乡规划相关知识</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63</w:t>
            </w:r>
          </w:p>
        </w:tc>
      </w:tr>
      <w:tr w:rsidR="00B82D68" w:rsidTr="004C1747">
        <w:trPr>
          <w:trHeight w:hRule="exact" w:val="567"/>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城乡规划管理与法规</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63</w:t>
            </w:r>
          </w:p>
        </w:tc>
      </w:tr>
      <w:tr w:rsidR="00B82D68" w:rsidTr="004C1747">
        <w:trPr>
          <w:trHeight w:hRule="exact" w:val="567"/>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主观题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城乡规划实务</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67</w:t>
            </w:r>
          </w:p>
        </w:tc>
      </w:tr>
      <w:tr w:rsidR="00B82D68" w:rsidTr="004C1747">
        <w:trPr>
          <w:trHeight w:hRule="exact" w:val="851"/>
        </w:trPr>
        <w:tc>
          <w:tcPr>
            <w:tcW w:w="710"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lastRenderedPageBreak/>
              <w:t>5</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一级、二级注册计量师职业资格考试费</w:t>
            </w: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一级注册计量师职业资格考试</w:t>
            </w: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计量法律法规及综合知识（一级）</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70</w:t>
            </w:r>
          </w:p>
        </w:tc>
      </w:tr>
      <w:tr w:rsidR="00B82D68" w:rsidTr="004C1747">
        <w:trPr>
          <w:trHeight w:hRule="exact" w:val="851"/>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测量数据处理与计量专业实务（一级）</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70</w:t>
            </w:r>
          </w:p>
        </w:tc>
      </w:tr>
      <w:tr w:rsidR="00B82D68" w:rsidTr="004C1747">
        <w:trPr>
          <w:trHeight w:hRule="exact" w:val="851"/>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主观题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计量专业案例分析（一级）</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75</w:t>
            </w:r>
          </w:p>
        </w:tc>
      </w:tr>
      <w:tr w:rsidR="00B82D68" w:rsidTr="004C1747">
        <w:trPr>
          <w:trHeight w:val="315"/>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val="restart"/>
            <w:shd w:val="clear" w:color="auto" w:fill="auto"/>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二级注册计量师职业资格考试</w:t>
            </w: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计量法律法规及综合知识（二级）</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68</w:t>
            </w:r>
          </w:p>
        </w:tc>
      </w:tr>
      <w:tr w:rsidR="00B82D68" w:rsidTr="004C1747">
        <w:trPr>
          <w:trHeight w:val="285"/>
        </w:trPr>
        <w:tc>
          <w:tcPr>
            <w:tcW w:w="710"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2126" w:type="dxa"/>
            <w:vMerge/>
            <w:shd w:val="clear" w:color="auto" w:fill="auto"/>
            <w:vAlign w:val="center"/>
          </w:tcPr>
          <w:p w:rsidR="00B82D68" w:rsidRDefault="00B82D68" w:rsidP="00B82D68">
            <w:pPr>
              <w:widowControl/>
              <w:spacing w:line="360" w:lineRule="exact"/>
              <w:jc w:val="left"/>
              <w:rPr>
                <w:rFonts w:eastAsia="宋体"/>
                <w:color w:val="000000"/>
                <w:kern w:val="0"/>
                <w:sz w:val="24"/>
                <w:szCs w:val="24"/>
              </w:rPr>
            </w:pPr>
          </w:p>
        </w:tc>
        <w:tc>
          <w:tcPr>
            <w:tcW w:w="1134" w:type="dxa"/>
            <w:shd w:val="clear" w:color="auto" w:fill="auto"/>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客观题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hAnsi="Times New Roman"/>
                <w:color w:val="000000"/>
                <w:kern w:val="0"/>
                <w:sz w:val="24"/>
                <w:szCs w:val="24"/>
              </w:rPr>
              <w:t>计量专业实务与案例分析（二级）</w:t>
            </w:r>
          </w:p>
        </w:tc>
        <w:tc>
          <w:tcPr>
            <w:tcW w:w="963" w:type="dxa"/>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68</w:t>
            </w:r>
          </w:p>
        </w:tc>
      </w:tr>
      <w:tr w:rsidR="00B82D68" w:rsidTr="004C1747">
        <w:trPr>
          <w:trHeight w:val="570"/>
        </w:trPr>
        <w:tc>
          <w:tcPr>
            <w:tcW w:w="710"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6</w:t>
            </w:r>
          </w:p>
        </w:tc>
        <w:tc>
          <w:tcPr>
            <w:tcW w:w="2126"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翻译专业资格（水平）考试费</w:t>
            </w:r>
          </w:p>
        </w:tc>
        <w:tc>
          <w:tcPr>
            <w:tcW w:w="2126" w:type="dxa"/>
            <w:vMerge w:val="restart"/>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hAnsi="Times New Roman"/>
                <w:color w:val="000000"/>
                <w:kern w:val="0"/>
                <w:sz w:val="24"/>
                <w:szCs w:val="24"/>
              </w:rPr>
              <w:t>翻译专业资格（水平）口译考试</w:t>
            </w:r>
          </w:p>
        </w:tc>
        <w:tc>
          <w:tcPr>
            <w:tcW w:w="1134" w:type="dxa"/>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主观</w:t>
            </w:r>
            <w:r>
              <w:rPr>
                <w:rFonts w:eastAsia="宋体" w:hAnsi="Times New Roman"/>
                <w:color w:val="000000"/>
                <w:kern w:val="0"/>
                <w:sz w:val="24"/>
                <w:szCs w:val="24"/>
              </w:rPr>
              <w:t>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color w:val="000000"/>
                <w:kern w:val="0"/>
                <w:sz w:val="24"/>
                <w:szCs w:val="24"/>
              </w:rPr>
              <w:t>二级口译综合能力（交替传译）</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hint="eastAsia"/>
                <w:color w:val="000000"/>
                <w:kern w:val="0"/>
                <w:sz w:val="24"/>
                <w:szCs w:val="24"/>
              </w:rPr>
              <w:t>250</w:t>
            </w:r>
          </w:p>
        </w:tc>
      </w:tr>
      <w:tr w:rsidR="00B82D68" w:rsidTr="004C1747">
        <w:trPr>
          <w:trHeight w:val="570"/>
        </w:trPr>
        <w:tc>
          <w:tcPr>
            <w:tcW w:w="710" w:type="dxa"/>
            <w:vMerge/>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p>
        </w:tc>
        <w:tc>
          <w:tcPr>
            <w:tcW w:w="2126" w:type="dxa"/>
            <w:vMerge/>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p>
        </w:tc>
        <w:tc>
          <w:tcPr>
            <w:tcW w:w="2126" w:type="dxa"/>
            <w:vMerge/>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p>
        </w:tc>
        <w:tc>
          <w:tcPr>
            <w:tcW w:w="1134" w:type="dxa"/>
            <w:shd w:val="clear" w:color="000000" w:fill="FFFFFF"/>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主观</w:t>
            </w:r>
            <w:r>
              <w:rPr>
                <w:rFonts w:eastAsia="宋体" w:hAnsi="Times New Roman"/>
                <w:color w:val="000000"/>
                <w:kern w:val="0"/>
                <w:sz w:val="24"/>
                <w:szCs w:val="24"/>
              </w:rPr>
              <w:t>题</w:t>
            </w:r>
          </w:p>
        </w:tc>
        <w:tc>
          <w:tcPr>
            <w:tcW w:w="2695" w:type="dxa"/>
            <w:shd w:val="clear" w:color="000000" w:fill="FFFFFF"/>
            <w:vAlign w:val="center"/>
          </w:tcPr>
          <w:p w:rsidR="00B82D68" w:rsidRDefault="00B82D68" w:rsidP="00B82D68">
            <w:pPr>
              <w:widowControl/>
              <w:spacing w:line="360" w:lineRule="exact"/>
              <w:jc w:val="left"/>
              <w:rPr>
                <w:rFonts w:eastAsia="宋体"/>
                <w:color w:val="000000"/>
                <w:kern w:val="0"/>
                <w:sz w:val="24"/>
                <w:szCs w:val="24"/>
              </w:rPr>
            </w:pPr>
            <w:r>
              <w:rPr>
                <w:rFonts w:eastAsia="宋体"/>
                <w:color w:val="000000"/>
                <w:kern w:val="0"/>
                <w:sz w:val="24"/>
                <w:szCs w:val="24"/>
              </w:rPr>
              <w:t>二级口译综合能力（同声传译）</w:t>
            </w:r>
          </w:p>
        </w:tc>
        <w:tc>
          <w:tcPr>
            <w:tcW w:w="963" w:type="dxa"/>
            <w:shd w:val="clear" w:color="000000" w:fill="FFFFFF"/>
            <w:noWrap/>
            <w:vAlign w:val="center"/>
          </w:tcPr>
          <w:p w:rsidR="00B82D68" w:rsidRDefault="00B82D68" w:rsidP="00B82D68">
            <w:pPr>
              <w:widowControl/>
              <w:spacing w:line="360" w:lineRule="exact"/>
              <w:jc w:val="center"/>
              <w:rPr>
                <w:rFonts w:eastAsia="宋体"/>
                <w:color w:val="000000"/>
                <w:kern w:val="0"/>
                <w:sz w:val="24"/>
                <w:szCs w:val="24"/>
              </w:rPr>
            </w:pPr>
            <w:r>
              <w:rPr>
                <w:rFonts w:eastAsia="宋体"/>
                <w:color w:val="000000"/>
                <w:kern w:val="0"/>
                <w:sz w:val="24"/>
                <w:szCs w:val="24"/>
              </w:rPr>
              <w:t>550</w:t>
            </w:r>
          </w:p>
        </w:tc>
      </w:tr>
    </w:tbl>
    <w:p w:rsidR="00B82D68" w:rsidRDefault="00B82D68" w:rsidP="00B82D68">
      <w:pPr>
        <w:spacing w:line="600" w:lineRule="exact"/>
        <w:rPr>
          <w:color w:val="000000"/>
        </w:rPr>
      </w:pPr>
    </w:p>
    <w:p w:rsidR="00B82D68" w:rsidRPr="00F20DC0" w:rsidRDefault="00B82D68" w:rsidP="00B82D68"/>
    <w:p w:rsidR="00B82D68" w:rsidRPr="00B34FF9" w:rsidRDefault="00B82D68" w:rsidP="00B82D68"/>
    <w:p w:rsidR="00330AB5" w:rsidRPr="00B82D68" w:rsidRDefault="00330AB5" w:rsidP="00B82D68">
      <w:pPr>
        <w:spacing w:line="600" w:lineRule="exact"/>
        <w:rPr>
          <w:rFonts w:ascii="仿宋_GB2312" w:eastAsia="仿宋_GB2312" w:hint="eastAsia"/>
          <w:sz w:val="32"/>
          <w:szCs w:val="32"/>
        </w:rPr>
      </w:pPr>
    </w:p>
    <w:sectPr w:rsidR="00330AB5" w:rsidRPr="00B82D68" w:rsidSect="00B82D68">
      <w:pgSz w:w="11906" w:h="16838"/>
      <w:pgMar w:top="1418" w:right="1247"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2D68"/>
    <w:rsid w:val="00330AB5"/>
    <w:rsid w:val="00B82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D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6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2023-05-08T01:14:00Z</dcterms:created>
  <dcterms:modified xsi:type="dcterms:W3CDTF">2023-05-08T01:17:00Z</dcterms:modified>
</cp:coreProperties>
</file>